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דיאנה פסו-ואגו</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5839C1" w:rsidRDefault="000A4C00" w:rsidP="000A4C00">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F6E3D" w:rsidP="00256F0D">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256F0D">
                  <w:rPr>
                    <w:rFonts w:ascii="Arial" w:hAnsi="Arial" w:hint="cs"/>
                    <w:b/>
                    <w:bCs/>
                    <w:noProof w:val="0"/>
                    <w:sz w:val="26"/>
                    <w:szCs w:val="26"/>
                    <w:rtl/>
                  </w:rPr>
                  <w:t>י' ב'</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256F0D">
              <w:rPr>
                <w:rFonts w:hint="cs"/>
                <w:b/>
                <w:bCs/>
                <w:noProof w:val="0"/>
                <w:sz w:val="26"/>
                <w:szCs w:val="26"/>
              </w:rPr>
              <w:t>XXXX</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7F6E3D" w:rsidP="00D44968">
            <w:pPr>
              <w:suppressLineNumbers/>
              <w:rPr>
                <w:rFonts w:ascii="Arial" w:hAnsi="Arial"/>
                <w:b/>
                <w:bCs/>
                <w:noProof w:val="0"/>
                <w:sz w:val="26"/>
                <w:szCs w:val="26"/>
              </w:rPr>
            </w:pPr>
            <w:sdt>
              <w:sdtPr>
                <w:rPr>
                  <w:rtl/>
                </w:rPr>
                <w:alias w:val="1184"/>
                <w:tag w:val="1184"/>
                <w:id w:val="-340621022"/>
                <w:text w:multiLine="1"/>
              </w:sdtPr>
              <w:sdtEndPr/>
              <w:sdtContent>
                <w:r w:rsidR="000A4C00">
                  <w:rPr>
                    <w:rtl/>
                  </w:rPr>
                  <w:br/>
                </w:r>
                <w:r w:rsidR="00064651">
                  <w:rPr>
                    <w:rFonts w:ascii="Arial" w:hAnsi="Arial"/>
                    <w:b/>
                    <w:bCs/>
                    <w:noProof w:val="0"/>
                    <w:sz w:val="26"/>
                    <w:szCs w:val="26"/>
                    <w:rtl/>
                  </w:rPr>
                  <w:t>נתבעים</w:t>
                </w:r>
                <w:r w:rsidR="000A4C00">
                  <w:rPr>
                    <w:rFonts w:ascii="Arial" w:hAnsi="Arial" w:hint="cs"/>
                    <w:b/>
                    <w:bCs/>
                    <w:noProof w:val="0"/>
                    <w:sz w:val="26"/>
                    <w:szCs w:val="26"/>
                    <w:rtl/>
                  </w:rPr>
                  <w:t>:</w:t>
                </w:r>
              </w:sdtContent>
            </w:sdt>
          </w:p>
        </w:tc>
        <w:tc>
          <w:tcPr>
            <w:tcW w:w="5571" w:type="dxa"/>
          </w:tcPr>
          <w:p w:rsidR="00CF6BB7" w:rsidRDefault="00CF6BB7" w:rsidP="00D44968">
            <w:pPr>
              <w:suppressLineNumbers/>
              <w:rPr>
                <w:b/>
                <w:bCs/>
                <w:noProof w:val="0"/>
                <w:sz w:val="26"/>
                <w:szCs w:val="26"/>
                <w:rtl/>
              </w:rPr>
            </w:pPr>
          </w:p>
          <w:p w:rsidR="0094424E" w:rsidRPr="00E54CD9" w:rsidRDefault="007F6E3D" w:rsidP="00256F0D">
            <w:pPr>
              <w:suppressLineNumbers/>
              <w:rPr>
                <w:rFonts w:ascii="Arial" w:hAnsi="Arial"/>
                <w:b/>
                <w:bCs/>
                <w:noProof w:val="0"/>
                <w:sz w:val="26"/>
                <w:szCs w:val="26"/>
                <w:rtl/>
              </w:rPr>
            </w:pPr>
            <w:sdt>
              <w:sdtPr>
                <w:rPr>
                  <w:rtl/>
                </w:rPr>
                <w:alias w:val="1571"/>
                <w:tag w:val="1571"/>
                <w:id w:val="1028836282"/>
                <w:text w:multiLine="1"/>
              </w:sdtPr>
              <w:sdtEndPr/>
              <w:sdtContent>
                <w:r w:rsidR="00064651">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309872140"/>
                <w:text w:multiLine="1"/>
              </w:sdtPr>
              <w:sdtEndPr/>
              <w:sdtContent>
                <w:r w:rsidR="00256F0D">
                  <w:rPr>
                    <w:rFonts w:ascii="Arial" w:hAnsi="Arial"/>
                    <w:b/>
                    <w:bCs/>
                    <w:noProof w:val="0"/>
                    <w:sz w:val="26"/>
                    <w:szCs w:val="26"/>
                    <w:rtl/>
                  </w:rPr>
                  <w:t>י</w:t>
                </w:r>
                <w:r w:rsidR="00256F0D">
                  <w:rPr>
                    <w:rFonts w:ascii="Arial" w:hAnsi="Arial" w:hint="cs"/>
                    <w:b/>
                    <w:bCs/>
                    <w:noProof w:val="0"/>
                    <w:sz w:val="26"/>
                    <w:szCs w:val="26"/>
                    <w:rtl/>
                  </w:rPr>
                  <w:t>' א'</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256F0D" w:rsidRPr="00256F0D">
              <w:rPr>
                <w:rFonts w:ascii="David" w:hAnsi="David"/>
                <w:b/>
                <w:bCs/>
                <w:noProof w:val="0"/>
                <w:sz w:val="26"/>
                <w:szCs w:val="26"/>
              </w:rPr>
              <w:t>XXXX</w:t>
            </w:r>
          </w:p>
          <w:p w:rsidR="0094424E" w:rsidRPr="00E54CD9" w:rsidRDefault="007F6E3D" w:rsidP="00897DAF">
            <w:pPr>
              <w:suppressLineNumbers/>
              <w:rPr>
                <w:rFonts w:ascii="Arial" w:hAnsi="Arial"/>
                <w:b/>
                <w:bCs/>
                <w:noProof w:val="0"/>
                <w:sz w:val="26"/>
                <w:szCs w:val="26"/>
                <w:rtl/>
              </w:rPr>
            </w:pPr>
            <w:sdt>
              <w:sdtPr>
                <w:rPr>
                  <w:rtl/>
                </w:rPr>
                <w:alias w:val="1571"/>
                <w:tag w:val="1571"/>
                <w:id w:val="1021897819"/>
                <w:text w:multiLine="1"/>
              </w:sdtPr>
              <w:sdtEndPr/>
              <w:sdtContent>
                <w:r w:rsidR="00064651">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2095005363"/>
                <w:text w:multiLine="1"/>
              </w:sdtPr>
              <w:sdtEndPr/>
              <w:sdtContent>
                <w:r w:rsidR="00064651">
                  <w:rPr>
                    <w:rFonts w:ascii="Arial" w:hAnsi="Arial"/>
                    <w:b/>
                    <w:bCs/>
                    <w:noProof w:val="0"/>
                    <w:sz w:val="26"/>
                    <w:szCs w:val="26"/>
                    <w:rtl/>
                  </w:rPr>
                  <w:t>רשות מקרקעי ישראל - מחוז דרום</w:t>
                </w:r>
              </w:sdtContent>
            </w:sdt>
            <w:r w:rsidR="00E54CD9">
              <w:rPr>
                <w:rFonts w:hint="cs"/>
                <w:rtl/>
              </w:rPr>
              <w:t xml:space="preserve"> </w:t>
            </w:r>
            <w:sdt>
              <w:sdtPr>
                <w:rPr>
                  <w:rFonts w:ascii="Arial" w:hAnsi="Arial" w:hint="cs"/>
                  <w:b/>
                  <w:bCs/>
                  <w:noProof w:val="0"/>
                  <w:sz w:val="26"/>
                  <w:szCs w:val="26"/>
                  <w:rtl/>
                </w:rPr>
                <w:alias w:val="2317"/>
                <w:tag w:val="2317"/>
                <w:id w:val="258648627"/>
                <w:placeholder>
                  <w:docPart w:val="BAA7C8D270FD4AD58EEC53F0343E378A"/>
                </w:placeholder>
                <w:text w:multiLine="1"/>
              </w:sdtPr>
              <w:sdtEndPr/>
              <w:sdtContent>
                <w:r w:rsidR="00064651">
                  <w:rPr>
                    <w:rFonts w:ascii="Arial" w:hAnsi="Arial" w:hint="eastAsia"/>
                    <w:b/>
                    <w:bCs/>
                    <w:noProof w:val="0"/>
                    <w:sz w:val="26"/>
                    <w:szCs w:val="26"/>
                    <w:rtl/>
                  </w:rPr>
                  <w:t>משרדי ממשלה</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057239158"/>
                <w:lock w:val="contentLocked"/>
                <w:placeholder>
                  <w:docPart w:val="29BBD408062D41728D690A1D9BD5B602"/>
                </w:placeholder>
                <w:text w:multiLine="1"/>
              </w:sdtPr>
              <w:sdtEndPr/>
              <w:sdtContent>
                <w:r w:rsidR="00064651">
                  <w:rPr>
                    <w:rFonts w:ascii="Arial" w:hAnsi="Arial" w:hint="eastAsia"/>
                    <w:b/>
                    <w:bCs/>
                    <w:noProof w:val="0"/>
                    <w:sz w:val="26"/>
                    <w:szCs w:val="26"/>
                    <w:rtl/>
                  </w:rPr>
                  <w:t>570000716</w:t>
                </w:r>
              </w:sdtContent>
            </w:sdt>
          </w:p>
          <w:p w:rsidR="0094424E" w:rsidRPr="00E54CD9" w:rsidRDefault="007F6E3D" w:rsidP="00897DAF">
            <w:pPr>
              <w:suppressLineNumbers/>
              <w:rPr>
                <w:rFonts w:ascii="Arial" w:hAnsi="Arial"/>
                <w:b/>
                <w:bCs/>
                <w:noProof w:val="0"/>
                <w:sz w:val="26"/>
                <w:szCs w:val="26"/>
                <w:rtl/>
              </w:rPr>
            </w:pPr>
            <w:sdt>
              <w:sdtPr>
                <w:rPr>
                  <w:rtl/>
                </w:rPr>
                <w:alias w:val="1571"/>
                <w:tag w:val="1571"/>
                <w:id w:val="-1460411982"/>
                <w:text w:multiLine="1"/>
              </w:sdtPr>
              <w:sdtEndPr/>
              <w:sdtContent>
                <w:r w:rsidR="00064651">
                  <w:rPr>
                    <w:rFonts w:ascii="Arial" w:hAnsi="Arial"/>
                    <w:b/>
                    <w:bCs/>
                    <w:noProof w:val="0"/>
                    <w:sz w:val="26"/>
                    <w:szCs w:val="26"/>
                    <w:rtl/>
                  </w:rPr>
                  <w:t>3</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669710496"/>
                <w:text w:multiLine="1"/>
              </w:sdtPr>
              <w:sdtEndPr/>
              <w:sdtContent>
                <w:r w:rsidR="00064651">
                  <w:rPr>
                    <w:rFonts w:ascii="Arial" w:hAnsi="Arial"/>
                    <w:b/>
                    <w:bCs/>
                    <w:noProof w:val="0"/>
                    <w:sz w:val="26"/>
                    <w:szCs w:val="26"/>
                    <w:rtl/>
                  </w:rPr>
                  <w:t>הסוכנות היהודית לא"י</w:t>
                </w:r>
              </w:sdtContent>
            </w:sdt>
            <w:r w:rsidR="00E54CD9">
              <w:rPr>
                <w:rFonts w:hint="cs"/>
                <w:rtl/>
              </w:rPr>
              <w:t xml:space="preserve"> </w:t>
            </w:r>
            <w:sdt>
              <w:sdtPr>
                <w:rPr>
                  <w:rFonts w:ascii="Arial" w:hAnsi="Arial" w:hint="cs"/>
                  <w:b/>
                  <w:bCs/>
                  <w:noProof w:val="0"/>
                  <w:sz w:val="26"/>
                  <w:szCs w:val="26"/>
                  <w:rtl/>
                </w:rPr>
                <w:alias w:val="2317"/>
                <w:tag w:val="2317"/>
                <w:id w:val="1227947160"/>
                <w:placeholder>
                  <w:docPart w:val="BAA7C8D270FD4AD58EEC53F0343E378A"/>
                </w:placeholder>
                <w:text w:multiLine="1"/>
              </w:sdtPr>
              <w:sdtEndPr/>
              <w:sdtContent>
                <w:r w:rsidR="00064651">
                  <w:rPr>
                    <w:rFonts w:ascii="Arial" w:hAnsi="Arial" w:hint="eastAsia"/>
                    <w:b/>
                    <w:bCs/>
                    <w:noProof w:val="0"/>
                    <w:sz w:val="26"/>
                    <w:szCs w:val="26"/>
                    <w:rtl/>
                  </w:rPr>
                  <w:t>חברות חוץ</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915162626"/>
                <w:lock w:val="contentLocked"/>
                <w:placeholder>
                  <w:docPart w:val="29BBD408062D41728D690A1D9BD5B602"/>
                </w:placeholder>
                <w:text w:multiLine="1"/>
              </w:sdtPr>
              <w:sdtEndPr/>
              <w:sdtContent>
                <w:r w:rsidR="00064651">
                  <w:rPr>
                    <w:rFonts w:ascii="Arial" w:hAnsi="Arial" w:hint="eastAsia"/>
                    <w:b/>
                    <w:bCs/>
                    <w:noProof w:val="0"/>
                    <w:sz w:val="26"/>
                    <w:szCs w:val="26"/>
                    <w:rtl/>
                  </w:rPr>
                  <w:t>520039917</w:t>
                </w:r>
              </w:sdtContent>
            </w:sdt>
          </w:p>
        </w:tc>
      </w:tr>
      <w:tr w:rsidR="00CF6BB7" w:rsidTr="00280865">
        <w:trPr>
          <w:jc w:val="center"/>
        </w:trPr>
        <w:tc>
          <w:tcPr>
            <w:tcW w:w="8820" w:type="dxa"/>
            <w:gridSpan w:val="3"/>
          </w:tcPr>
          <w:p w:rsidR="00CF6BB7" w:rsidRPr="00996935" w:rsidRDefault="00CF6BB7" w:rsidP="00D44968">
            <w:pPr>
              <w:suppressLineNumbers/>
              <w:rPr>
                <w:rtl/>
              </w:rPr>
            </w:pPr>
          </w:p>
        </w:tc>
      </w:tr>
      <w:tr w:rsidR="00CF6BB7">
        <w:trPr>
          <w:jc w:val="center"/>
        </w:trPr>
        <w:tc>
          <w:tcPr>
            <w:tcW w:w="3249" w:type="dxa"/>
            <w:gridSpan w:val="2"/>
          </w:tcPr>
          <w:p w:rsidR="005839C1" w:rsidRDefault="005839C1">
            <w:pPr>
              <w:rPr>
                <w:rFonts w:ascii="David" w:eastAsia="David" w:hAnsi="David"/>
                <w:noProof w:val="0"/>
              </w:rPr>
            </w:pPr>
          </w:p>
        </w:tc>
        <w:tc>
          <w:tcPr>
            <w:tcW w:w="5571" w:type="dxa"/>
          </w:tcPr>
          <w:p w:rsidR="005839C1" w:rsidRDefault="005839C1">
            <w:pPr>
              <w:rPr>
                <w:b/>
                <w:bCs/>
                <w:sz w:val="26"/>
                <w:szCs w:val="26"/>
              </w:rPr>
            </w:pPr>
          </w:p>
        </w:tc>
      </w:tr>
      <w:tr w:rsidR="004C17EE" w:rsidTr="00D620FD">
        <w:trPr>
          <w:jc w:val="center"/>
        </w:trPr>
        <w:tc>
          <w:tcPr>
            <w:tcW w:w="8820" w:type="dxa"/>
            <w:gridSpan w:val="3"/>
          </w:tcPr>
          <w:p w:rsidR="005839C1" w:rsidRDefault="005839C1">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0A4C00" w:rsidRDefault="000A4C00" w:rsidP="00256F0D">
      <w:pPr>
        <w:spacing w:line="360" w:lineRule="auto"/>
        <w:jc w:val="both"/>
        <w:rPr>
          <w:rtl/>
        </w:rPr>
      </w:pPr>
      <w:bookmarkStart w:id="1" w:name="NGCSBookmark"/>
      <w:bookmarkEnd w:id="1"/>
      <w:r>
        <w:rPr>
          <w:rtl/>
        </w:rPr>
        <w:t xml:space="preserve">1. בפני בקשה לסילוק על הסף, של התובענה, שהוגשה על ידי מר </w:t>
      </w:r>
      <w:r w:rsidR="00256F0D">
        <w:rPr>
          <w:rFonts w:hint="cs"/>
          <w:rtl/>
        </w:rPr>
        <w:t>ב'</w:t>
      </w:r>
      <w:r>
        <w:rPr>
          <w:rtl/>
        </w:rPr>
        <w:t xml:space="preserve"> (להלן: "התובע"/"הנתבע שכנגד"/"</w:t>
      </w:r>
      <w:r w:rsidR="00256F0D">
        <w:rPr>
          <w:rFonts w:hint="cs"/>
          <w:rtl/>
        </w:rPr>
        <w:t>ב'</w:t>
      </w:r>
      <w:r>
        <w:rPr>
          <w:rtl/>
        </w:rPr>
        <w:t xml:space="preserve">"), כנגד מר </w:t>
      </w:r>
      <w:r w:rsidR="00256F0D">
        <w:rPr>
          <w:rFonts w:hint="cs"/>
          <w:rtl/>
        </w:rPr>
        <w:t>א'</w:t>
      </w:r>
      <w:r>
        <w:rPr>
          <w:rtl/>
        </w:rPr>
        <w:t xml:space="preserve"> (להלן: "הנתבע"/"התובע שכנגד"/"</w:t>
      </w:r>
      <w:r w:rsidR="00256F0D">
        <w:rPr>
          <w:rFonts w:hint="cs"/>
          <w:rtl/>
        </w:rPr>
        <w:t>א'</w:t>
      </w:r>
      <w:r>
        <w:rPr>
          <w:rtl/>
        </w:rPr>
        <w:t>"), רשות מקרקעי ישראל (להלן: "רמ"י") והסוכנות היהודית לא"י (להלן: "הסוכנות").</w:t>
      </w:r>
    </w:p>
    <w:p w:rsidR="000A4C00" w:rsidRDefault="000A4C00" w:rsidP="00256F0D">
      <w:pPr>
        <w:spacing w:line="360" w:lineRule="auto"/>
        <w:jc w:val="both"/>
        <w:rPr>
          <w:rtl/>
        </w:rPr>
      </w:pPr>
      <w:r>
        <w:rPr>
          <w:rtl/>
        </w:rPr>
        <w:t xml:space="preserve">בקשה זו הוגשה על ידי </w:t>
      </w:r>
      <w:r w:rsidR="00256F0D">
        <w:rPr>
          <w:rFonts w:hint="cs"/>
          <w:rtl/>
        </w:rPr>
        <w:t>א'</w:t>
      </w:r>
      <w:r>
        <w:rPr>
          <w:rtl/>
        </w:rPr>
        <w:t>.</w:t>
      </w:r>
    </w:p>
    <w:p w:rsidR="000A4C00" w:rsidRDefault="000A4C00" w:rsidP="00256F0D">
      <w:pPr>
        <w:spacing w:line="360" w:lineRule="auto"/>
        <w:jc w:val="both"/>
        <w:rPr>
          <w:rtl/>
        </w:rPr>
      </w:pPr>
      <w:r>
        <w:rPr>
          <w:rtl/>
        </w:rPr>
        <w:t xml:space="preserve">כמו כן הוגשה בקשה לדחייה על הסף, של התביעה שכנגד, וזאת על ידי </w:t>
      </w:r>
      <w:r w:rsidR="00256F0D">
        <w:rPr>
          <w:rFonts w:hint="cs"/>
          <w:rtl/>
        </w:rPr>
        <w:t>ב'</w:t>
      </w:r>
      <w:r>
        <w:rPr>
          <w:rtl/>
        </w:rPr>
        <w:t>.</w:t>
      </w:r>
    </w:p>
    <w:p w:rsidR="000A4C00" w:rsidRDefault="000A4C00" w:rsidP="000A4C00">
      <w:pPr>
        <w:spacing w:line="360" w:lineRule="auto"/>
        <w:jc w:val="both"/>
        <w:rPr>
          <w:rtl/>
        </w:rPr>
      </w:pPr>
    </w:p>
    <w:p w:rsidR="000A4C00" w:rsidRDefault="000A4C00" w:rsidP="00256F0D">
      <w:pPr>
        <w:spacing w:line="360" w:lineRule="auto"/>
        <w:jc w:val="both"/>
        <w:rPr>
          <w:rtl/>
        </w:rPr>
      </w:pPr>
      <w:r>
        <w:rPr>
          <w:rtl/>
        </w:rPr>
        <w:t xml:space="preserve">2. עסקינן בתביעה למתן פסק דין הצהרתי, כי הזכויות, מסוג "בר רשות", בנכס הידוע כמשק </w:t>
      </w:r>
      <w:r w:rsidR="00256F0D">
        <w:rPr>
          <w:rFonts w:hint="cs"/>
        </w:rPr>
        <w:t>XXXX</w:t>
      </w:r>
      <w:r w:rsidR="00256F0D">
        <w:rPr>
          <w:rFonts w:hint="cs"/>
          <w:rtl/>
        </w:rPr>
        <w:t xml:space="preserve"> </w:t>
      </w:r>
      <w:r>
        <w:rPr>
          <w:rtl/>
        </w:rPr>
        <w:t xml:space="preserve">במושב </w:t>
      </w:r>
      <w:r w:rsidR="00256F0D">
        <w:rPr>
          <w:rFonts w:hint="cs"/>
        </w:rPr>
        <w:t>XXXX</w:t>
      </w:r>
      <w:r>
        <w:rPr>
          <w:rtl/>
        </w:rPr>
        <w:t xml:space="preserve"> (להלן: "הנכס"), שייכים לתובע.</w:t>
      </w:r>
    </w:p>
    <w:p w:rsidR="000A4C00" w:rsidRDefault="000A4C00" w:rsidP="000A4C00">
      <w:pPr>
        <w:spacing w:line="360" w:lineRule="auto"/>
        <w:jc w:val="both"/>
        <w:rPr>
          <w:rtl/>
        </w:rPr>
      </w:pPr>
    </w:p>
    <w:p w:rsidR="000A4C00" w:rsidRPr="000A4C00" w:rsidRDefault="000A4C00" w:rsidP="000A4C00">
      <w:pPr>
        <w:spacing w:line="360" w:lineRule="auto"/>
        <w:jc w:val="both"/>
        <w:rPr>
          <w:b/>
          <w:bCs/>
          <w:u w:val="single"/>
          <w:rtl/>
        </w:rPr>
      </w:pPr>
      <w:r w:rsidRPr="000A4C00">
        <w:rPr>
          <w:b/>
          <w:bCs/>
          <w:u w:val="single"/>
          <w:rtl/>
        </w:rPr>
        <w:t>הרקע והצדדים:</w:t>
      </w:r>
    </w:p>
    <w:p w:rsidR="000A4C00" w:rsidRDefault="000A4C00" w:rsidP="000A4C00">
      <w:pPr>
        <w:spacing w:line="360" w:lineRule="auto"/>
        <w:jc w:val="both"/>
        <w:rPr>
          <w:rtl/>
        </w:rPr>
      </w:pPr>
    </w:p>
    <w:p w:rsidR="000A4C00" w:rsidRDefault="000A4C00" w:rsidP="00256F0D">
      <w:pPr>
        <w:spacing w:line="360" w:lineRule="auto"/>
        <w:jc w:val="both"/>
        <w:rPr>
          <w:rtl/>
        </w:rPr>
      </w:pPr>
      <w:r>
        <w:rPr>
          <w:rtl/>
        </w:rPr>
        <w:t xml:space="preserve">3. הנכס, הוא חלק ממשבצת חקלאית, במושב </w:t>
      </w:r>
      <w:r w:rsidR="00256F0D">
        <w:rPr>
          <w:rFonts w:hint="cs"/>
        </w:rPr>
        <w:t>XXXX</w:t>
      </w:r>
      <w:r>
        <w:rPr>
          <w:rtl/>
        </w:rPr>
        <w:t xml:space="preserve">, לגביו קיים חוזה שכירות "תלת צדדי", בין רמ"י, הסוכנות והאגודה (להלן: "הסכם המשבצת"). כיום הסכם המשבצת אינו בתוקף ונמצא בהליך חידוש. </w:t>
      </w:r>
    </w:p>
    <w:p w:rsidR="000A4C00" w:rsidRDefault="000A4C00" w:rsidP="000A4C00">
      <w:pPr>
        <w:spacing w:line="360" w:lineRule="auto"/>
        <w:jc w:val="both"/>
        <w:rPr>
          <w:rtl/>
        </w:rPr>
      </w:pPr>
    </w:p>
    <w:p w:rsidR="000A4C00" w:rsidRDefault="000A4C00" w:rsidP="000A4C00">
      <w:pPr>
        <w:spacing w:line="360" w:lineRule="auto"/>
        <w:jc w:val="both"/>
        <w:rPr>
          <w:rtl/>
        </w:rPr>
      </w:pPr>
      <w:r>
        <w:rPr>
          <w:rtl/>
        </w:rPr>
        <w:t>בהתאם להסכם המשבצת, בכל הנוגע להעברת זכויות בנכס, קבוע, כדלקמן:</w:t>
      </w:r>
    </w:p>
    <w:p w:rsidR="000A4C00" w:rsidRDefault="000A4C00" w:rsidP="000A4C00">
      <w:pPr>
        <w:spacing w:line="360" w:lineRule="auto"/>
        <w:jc w:val="both"/>
        <w:rPr>
          <w:rtl/>
        </w:rPr>
      </w:pPr>
      <w:r>
        <w:lastRenderedPageBreak/>
        <w:drawing>
          <wp:inline distT="0" distB="0" distL="0" distR="0">
            <wp:extent cx="5274310" cy="2999105"/>
            <wp:effectExtent l="0" t="0" r="254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2999105"/>
                    </a:xfrm>
                    <a:prstGeom prst="rect">
                      <a:avLst/>
                    </a:prstGeom>
                    <a:noFill/>
                    <a:ln>
                      <a:noFill/>
                    </a:ln>
                  </pic:spPr>
                </pic:pic>
              </a:graphicData>
            </a:graphic>
          </wp:inline>
        </w:drawing>
      </w:r>
    </w:p>
    <w:p w:rsidR="000A4C00" w:rsidRDefault="000A4C00" w:rsidP="000A4C00">
      <w:pPr>
        <w:spacing w:line="360" w:lineRule="auto"/>
        <w:jc w:val="both"/>
        <w:rPr>
          <w:rtl/>
        </w:rPr>
      </w:pPr>
      <w:r>
        <w:drawing>
          <wp:inline distT="0" distB="0" distL="0" distR="0">
            <wp:extent cx="5083810" cy="2720975"/>
            <wp:effectExtent l="0" t="0" r="2540" b="317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83810" cy="2720975"/>
                    </a:xfrm>
                    <a:prstGeom prst="rect">
                      <a:avLst/>
                    </a:prstGeom>
                    <a:noFill/>
                    <a:ln>
                      <a:noFill/>
                    </a:ln>
                  </pic:spPr>
                </pic:pic>
              </a:graphicData>
            </a:graphic>
          </wp:inline>
        </w:drawing>
      </w:r>
    </w:p>
    <w:p w:rsidR="000A4C00" w:rsidRDefault="000A4C00" w:rsidP="000A4C00">
      <w:pPr>
        <w:spacing w:line="360" w:lineRule="auto"/>
        <w:jc w:val="both"/>
        <w:rPr>
          <w:rtl/>
        </w:rPr>
      </w:pPr>
    </w:p>
    <w:p w:rsidR="000A4C00" w:rsidRDefault="000A4C00" w:rsidP="000A4C00">
      <w:pPr>
        <w:spacing w:line="360" w:lineRule="auto"/>
        <w:jc w:val="both"/>
        <w:rPr>
          <w:rtl/>
        </w:rPr>
      </w:pPr>
      <w:r>
        <w:rPr>
          <w:rtl/>
        </w:rPr>
        <w:t>4. בהתאם להסכם המשבצת – הזכויות ב"נחלה", הן זכויות בר-רשות בלבד, ואינן חלק מעזבונו של חבר אגודה, כאשר עם פטירתו של חבר האגודה, יועברו הזכויות לבן/ת הזוג שנותר בחיים. באין בן/ת זוג יועברו הזכויות לבן ממשיך. באין בן ממשיך – יועברו הזכויות בהתאם להוראת סעיף 114 לחוק הירושה, תשכ"ה – 1965, הקובע, כי המשק יימסר "ליורש המוכן ומסוגל לקיימו".</w:t>
      </w:r>
    </w:p>
    <w:p w:rsidR="000A4C00" w:rsidRDefault="000A4C00" w:rsidP="000A4C00">
      <w:pPr>
        <w:spacing w:line="360" w:lineRule="auto"/>
        <w:jc w:val="both"/>
        <w:rPr>
          <w:rtl/>
        </w:rPr>
      </w:pPr>
    </w:p>
    <w:p w:rsidR="000A4C00" w:rsidRDefault="000A4C00" w:rsidP="00256F0D">
      <w:pPr>
        <w:spacing w:line="360" w:lineRule="auto"/>
        <w:jc w:val="both"/>
        <w:rPr>
          <w:rtl/>
        </w:rPr>
      </w:pPr>
      <w:r>
        <w:rPr>
          <w:rtl/>
        </w:rPr>
        <w:lastRenderedPageBreak/>
        <w:t xml:space="preserve">5. בשנת 1964 נרשם הנכס בסוכנות על שם </w:t>
      </w:r>
      <w:r w:rsidR="00256F0D">
        <w:rPr>
          <w:rFonts w:hint="cs"/>
          <w:rtl/>
        </w:rPr>
        <w:t>המנוח</w:t>
      </w:r>
      <w:r>
        <w:rPr>
          <w:rtl/>
        </w:rPr>
        <w:t xml:space="preserve"> ז"ל ( להלן: "המנוח") וגב' </w:t>
      </w:r>
      <w:r w:rsidR="00256F0D">
        <w:rPr>
          <w:rFonts w:hint="cs"/>
          <w:rtl/>
        </w:rPr>
        <w:t>המנוחה</w:t>
      </w:r>
      <w:r>
        <w:rPr>
          <w:rtl/>
        </w:rPr>
        <w:t xml:space="preserve"> ז"ל (להלן: "המנוחה"), שהיו באותה עת נשואים. ברישומי רמ"י הזכויות נרשמו על שם </w:t>
      </w:r>
      <w:r w:rsidR="00256F0D">
        <w:rPr>
          <w:rFonts w:hint="cs"/>
          <w:rtl/>
        </w:rPr>
        <w:t xml:space="preserve">המנוח </w:t>
      </w:r>
      <w:r>
        <w:rPr>
          <w:rtl/>
        </w:rPr>
        <w:t>ז"ל, בלבד.</w:t>
      </w:r>
    </w:p>
    <w:p w:rsidR="000A4C00" w:rsidRDefault="000A4C00" w:rsidP="000A4C00">
      <w:pPr>
        <w:spacing w:line="360" w:lineRule="auto"/>
        <w:jc w:val="both"/>
        <w:rPr>
          <w:rtl/>
        </w:rPr>
      </w:pPr>
      <w:r>
        <w:rPr>
          <w:rtl/>
        </w:rPr>
        <w:t>יובהר כי במועד רישום הזכויות הנ"ל, לא צויינו מספרי זהותם של בעלי הזכויות. הם המנוחים.</w:t>
      </w:r>
    </w:p>
    <w:p w:rsidR="000A4C00" w:rsidRDefault="000A4C00" w:rsidP="000A4C00">
      <w:pPr>
        <w:spacing w:line="360" w:lineRule="auto"/>
        <w:jc w:val="both"/>
        <w:rPr>
          <w:rtl/>
        </w:rPr>
      </w:pPr>
    </w:p>
    <w:p w:rsidR="000A4C00" w:rsidRDefault="00256F0D" w:rsidP="00256F0D">
      <w:pPr>
        <w:spacing w:line="360" w:lineRule="auto"/>
        <w:jc w:val="both"/>
        <w:rPr>
          <w:rtl/>
        </w:rPr>
      </w:pPr>
      <w:r>
        <w:rPr>
          <w:rtl/>
        </w:rPr>
        <w:t xml:space="preserve">6. ביום </w:t>
      </w:r>
      <w:r>
        <w:rPr>
          <w:rFonts w:hint="cs"/>
          <w:rtl/>
        </w:rPr>
        <w:t>00</w:t>
      </w:r>
      <w:r>
        <w:rPr>
          <w:rtl/>
        </w:rPr>
        <w:t>.</w:t>
      </w:r>
      <w:r>
        <w:rPr>
          <w:rFonts w:hint="cs"/>
          <w:rtl/>
        </w:rPr>
        <w:t>00</w:t>
      </w:r>
      <w:r>
        <w:rPr>
          <w:rtl/>
        </w:rPr>
        <w:t xml:space="preserve">.94 </w:t>
      </w:r>
      <w:r>
        <w:rPr>
          <w:rFonts w:hint="cs"/>
          <w:rtl/>
        </w:rPr>
        <w:t xml:space="preserve">המנוח </w:t>
      </w:r>
      <w:r w:rsidR="000A4C00">
        <w:rPr>
          <w:rtl/>
        </w:rPr>
        <w:t xml:space="preserve">ז"ל, הלך לעולמו וביום </w:t>
      </w:r>
      <w:r>
        <w:rPr>
          <w:rFonts w:hint="cs"/>
          <w:rtl/>
        </w:rPr>
        <w:t>00</w:t>
      </w:r>
      <w:r w:rsidR="000A4C00">
        <w:rPr>
          <w:rtl/>
        </w:rPr>
        <w:t>.</w:t>
      </w:r>
      <w:r>
        <w:rPr>
          <w:rFonts w:hint="cs"/>
          <w:rtl/>
        </w:rPr>
        <w:t>00</w:t>
      </w:r>
      <w:r w:rsidR="000A4C00">
        <w:rPr>
          <w:rtl/>
        </w:rPr>
        <w:t>.97 ניתן צו ירושה, לפיו, למנוח 14 יורשים, בהם התובע, ב - 1/96 חלקים והמנוחה, אלמנתו, יורשת "הדירה + 2/3 מהעזבון".</w:t>
      </w:r>
    </w:p>
    <w:p w:rsidR="000A4C00" w:rsidRDefault="000A4C00" w:rsidP="000A4C00">
      <w:pPr>
        <w:spacing w:line="360" w:lineRule="auto"/>
        <w:jc w:val="both"/>
        <w:rPr>
          <w:rtl/>
        </w:rPr>
      </w:pPr>
    </w:p>
    <w:p w:rsidR="000A4C00" w:rsidRDefault="000A4C00" w:rsidP="000A4C00">
      <w:pPr>
        <w:spacing w:line="360" w:lineRule="auto"/>
        <w:jc w:val="both"/>
        <w:rPr>
          <w:rtl/>
        </w:rPr>
      </w:pPr>
      <w:r>
        <w:rPr>
          <w:rtl/>
        </w:rPr>
        <w:t xml:space="preserve">7. לימים, בשנת 2000, נישאה המנוחה עם </w:t>
      </w:r>
      <w:r w:rsidR="00256F0D">
        <w:rPr>
          <w:rtl/>
        </w:rPr>
        <w:t>א'</w:t>
      </w:r>
      <w:r>
        <w:rPr>
          <w:rtl/>
        </w:rPr>
        <w:t>, כאשר ממועד פטירת המנוח ועד אז, המשיכה להתגורר בנכס, באין מפריע.</w:t>
      </w:r>
    </w:p>
    <w:p w:rsidR="000A4C00" w:rsidRDefault="000A4C00" w:rsidP="00256F0D">
      <w:pPr>
        <w:spacing w:line="360" w:lineRule="auto"/>
        <w:jc w:val="both"/>
        <w:rPr>
          <w:rtl/>
        </w:rPr>
      </w:pPr>
      <w:r>
        <w:rPr>
          <w:rtl/>
        </w:rPr>
        <w:t>בין המנוחה ל</w:t>
      </w:r>
      <w:r w:rsidR="00256F0D">
        <w:rPr>
          <w:rtl/>
        </w:rPr>
        <w:t>א'</w:t>
      </w:r>
      <w:r>
        <w:rPr>
          <w:rtl/>
        </w:rPr>
        <w:t xml:space="preserve">, נחתם הסכם ממון, שקיבל תוקף של פסק דין, ביום </w:t>
      </w:r>
      <w:r w:rsidR="00256F0D">
        <w:rPr>
          <w:rFonts w:hint="cs"/>
          <w:rtl/>
        </w:rPr>
        <w:t>00</w:t>
      </w:r>
      <w:r>
        <w:rPr>
          <w:rtl/>
        </w:rPr>
        <w:t>.</w:t>
      </w:r>
      <w:r w:rsidR="00256F0D">
        <w:rPr>
          <w:rFonts w:hint="cs"/>
          <w:rtl/>
        </w:rPr>
        <w:t>00</w:t>
      </w:r>
      <w:r>
        <w:rPr>
          <w:rtl/>
        </w:rPr>
        <w:t>.2000, במסגרתו קבעו הצדדים הפרדה רכושית בחיי נישואיהם. הוראה המתיימרת, ולו לכאורה, לקבוע חלוקת רכוש לאחר מות מי מהצדדים, אין.</w:t>
      </w:r>
    </w:p>
    <w:p w:rsidR="000A4C00" w:rsidRDefault="000A4C00" w:rsidP="000A4C00">
      <w:pPr>
        <w:spacing w:line="360" w:lineRule="auto"/>
        <w:jc w:val="both"/>
        <w:rPr>
          <w:rtl/>
        </w:rPr>
      </w:pPr>
    </w:p>
    <w:p w:rsidR="000A4C00" w:rsidRDefault="000A4C00" w:rsidP="00256F0D">
      <w:pPr>
        <w:spacing w:line="360" w:lineRule="auto"/>
        <w:jc w:val="both"/>
        <w:rPr>
          <w:rtl/>
        </w:rPr>
      </w:pPr>
      <w:r>
        <w:rPr>
          <w:rtl/>
        </w:rPr>
        <w:t xml:space="preserve">המנוחה הלכה לעולמה ביום </w:t>
      </w:r>
      <w:r w:rsidR="00256F0D">
        <w:rPr>
          <w:rFonts w:hint="cs"/>
          <w:rtl/>
        </w:rPr>
        <w:t>00</w:t>
      </w:r>
      <w:r>
        <w:rPr>
          <w:rtl/>
        </w:rPr>
        <w:t>.</w:t>
      </w:r>
      <w:r w:rsidR="00256F0D">
        <w:rPr>
          <w:rFonts w:hint="cs"/>
          <w:rtl/>
        </w:rPr>
        <w:t>00</w:t>
      </w:r>
      <w:r>
        <w:rPr>
          <w:rtl/>
        </w:rPr>
        <w:t xml:space="preserve">.11 וצו ירושה בעניינה, ניתן ביום </w:t>
      </w:r>
      <w:r w:rsidR="00256F0D">
        <w:rPr>
          <w:rFonts w:hint="cs"/>
          <w:rtl/>
        </w:rPr>
        <w:t>00</w:t>
      </w:r>
      <w:r>
        <w:rPr>
          <w:rtl/>
        </w:rPr>
        <w:t>.</w:t>
      </w:r>
      <w:r w:rsidR="00256F0D">
        <w:rPr>
          <w:rFonts w:hint="cs"/>
          <w:rtl/>
        </w:rPr>
        <w:t>00</w:t>
      </w:r>
      <w:r>
        <w:rPr>
          <w:rtl/>
        </w:rPr>
        <w:t xml:space="preserve">.21. </w:t>
      </w:r>
      <w:r w:rsidR="00256F0D">
        <w:rPr>
          <w:rtl/>
        </w:rPr>
        <w:t>א'</w:t>
      </w:r>
      <w:r>
        <w:rPr>
          <w:rtl/>
        </w:rPr>
        <w:t xml:space="preserve"> הוא חלק מיורשים נוספים כאשר לו 4000/6000 חלקים בנכסי העזבון.</w:t>
      </w:r>
    </w:p>
    <w:p w:rsidR="000A4C00" w:rsidRDefault="000A4C00" w:rsidP="000A4C00">
      <w:pPr>
        <w:spacing w:line="360" w:lineRule="auto"/>
        <w:jc w:val="both"/>
        <w:rPr>
          <w:rtl/>
        </w:rPr>
      </w:pPr>
      <w:r>
        <w:rPr>
          <w:rtl/>
        </w:rPr>
        <w:t>התובע אינו מנוי בין היורשים.</w:t>
      </w:r>
    </w:p>
    <w:p w:rsidR="000A4C00" w:rsidRDefault="000A4C00" w:rsidP="000A4C00">
      <w:pPr>
        <w:spacing w:line="360" w:lineRule="auto"/>
        <w:jc w:val="both"/>
        <w:rPr>
          <w:rtl/>
        </w:rPr>
      </w:pPr>
    </w:p>
    <w:p w:rsidR="000A4C00" w:rsidRDefault="000A4C00" w:rsidP="006D7695">
      <w:pPr>
        <w:spacing w:line="360" w:lineRule="auto"/>
        <w:jc w:val="both"/>
        <w:rPr>
          <w:rtl/>
        </w:rPr>
      </w:pPr>
      <w:r>
        <w:rPr>
          <w:rtl/>
        </w:rPr>
        <w:t>8. ביום</w:t>
      </w:r>
      <w:r w:rsidR="006D7695">
        <w:rPr>
          <w:rFonts w:hint="cs"/>
          <w:rtl/>
        </w:rPr>
        <w:t xml:space="preserve"> ___ </w:t>
      </w:r>
      <w:r>
        <w:rPr>
          <w:rtl/>
        </w:rPr>
        <w:t xml:space="preserve">נפיקה רמ"י אישור זכויות בנכס, לפיו </w:t>
      </w:r>
      <w:r w:rsidR="00256F0D">
        <w:rPr>
          <w:rtl/>
        </w:rPr>
        <w:t>ב'</w:t>
      </w:r>
      <w:r>
        <w:rPr>
          <w:rtl/>
        </w:rPr>
        <w:t xml:space="preserve">, התובע, הוא בעל הזכויות בנכס וזאת לאחר שעו"ד </w:t>
      </w:r>
      <w:r w:rsidR="00256F0D">
        <w:rPr>
          <w:rFonts w:hint="cs"/>
          <w:rtl/>
        </w:rPr>
        <w:t xml:space="preserve">ק' ז' </w:t>
      </w:r>
      <w:r>
        <w:rPr>
          <w:rtl/>
        </w:rPr>
        <w:t xml:space="preserve"> התייצבה בפני הרשות, כשבידיה יפוי כוח מאת התובע, וביקשה לעדכן רישומי הנכס ברמ"י.</w:t>
      </w:r>
    </w:p>
    <w:p w:rsidR="000A4C00" w:rsidRDefault="000A4C00" w:rsidP="000A4C00">
      <w:pPr>
        <w:spacing w:line="360" w:lineRule="auto"/>
        <w:jc w:val="both"/>
        <w:rPr>
          <w:rtl/>
        </w:rPr>
      </w:pPr>
    </w:p>
    <w:p w:rsidR="000A4C00" w:rsidRDefault="000A4C00" w:rsidP="006D7695">
      <w:pPr>
        <w:spacing w:line="360" w:lineRule="auto"/>
        <w:jc w:val="both"/>
        <w:rPr>
          <w:rtl/>
        </w:rPr>
      </w:pPr>
      <w:r>
        <w:rPr>
          <w:rtl/>
        </w:rPr>
        <w:t>ביום</w:t>
      </w:r>
      <w:r w:rsidR="006D7695">
        <w:rPr>
          <w:rFonts w:hint="cs"/>
          <w:rtl/>
        </w:rPr>
        <w:t xml:space="preserve"> ___</w:t>
      </w:r>
      <w:r>
        <w:rPr>
          <w:rtl/>
        </w:rPr>
        <w:t>, נשלחה הודעה לבאת כוח התובע, כי אישור הזכויות שהופק, כאמור, מבוטל, היות ומצב הזכויות שהוצג באישור שגוי, עת התובע, אינו בעל הנכס הרלוונטי.</w:t>
      </w:r>
    </w:p>
    <w:p w:rsidR="000A4C00" w:rsidRDefault="000A4C00" w:rsidP="000A4C00">
      <w:pPr>
        <w:spacing w:line="360" w:lineRule="auto"/>
        <w:jc w:val="both"/>
        <w:rPr>
          <w:rtl/>
        </w:rPr>
      </w:pPr>
    </w:p>
    <w:p w:rsidR="000A4C00" w:rsidRDefault="000A4C00" w:rsidP="000A4C00">
      <w:pPr>
        <w:spacing w:line="360" w:lineRule="auto"/>
        <w:jc w:val="both"/>
        <w:rPr>
          <w:rtl/>
        </w:rPr>
      </w:pPr>
      <w:r>
        <w:rPr>
          <w:rtl/>
        </w:rPr>
        <w:t>9. התובע טען בתביעתו, כי לבית המשפט לענייני משפחה הסמכות לדון בתביעה, בשל מיקום הנכס והיות "ומקור המחלוקת עניינו בסכסוך משפחתי".</w:t>
      </w:r>
    </w:p>
    <w:p w:rsidR="000A4C00" w:rsidRDefault="000A4C00" w:rsidP="000A4C00">
      <w:pPr>
        <w:spacing w:line="360" w:lineRule="auto"/>
        <w:jc w:val="both"/>
        <w:rPr>
          <w:rtl/>
        </w:rPr>
      </w:pPr>
    </w:p>
    <w:p w:rsidR="000A4C00" w:rsidRDefault="000A4C00" w:rsidP="000A4C00">
      <w:pPr>
        <w:spacing w:line="360" w:lineRule="auto"/>
        <w:jc w:val="both"/>
        <w:rPr>
          <w:rtl/>
        </w:rPr>
      </w:pPr>
      <w:r>
        <w:rPr>
          <w:rtl/>
        </w:rPr>
        <w:t>10. התובע עתר להצהיר, כי הוא הבעלים של הנכס ולהורות לרמ"י לרשום את בעלותו והכל ממספר טעמים:</w:t>
      </w:r>
    </w:p>
    <w:p w:rsidR="000A4C00" w:rsidRDefault="000A4C00" w:rsidP="000A4C00">
      <w:pPr>
        <w:spacing w:line="360" w:lineRule="auto"/>
        <w:jc w:val="both"/>
        <w:rPr>
          <w:rtl/>
        </w:rPr>
      </w:pPr>
    </w:p>
    <w:p w:rsidR="000A4C00" w:rsidRDefault="000A4C00" w:rsidP="0057693C">
      <w:pPr>
        <w:spacing w:line="360" w:lineRule="auto"/>
        <w:jc w:val="both"/>
        <w:rPr>
          <w:rtl/>
        </w:rPr>
      </w:pPr>
      <w:r>
        <w:rPr>
          <w:rtl/>
        </w:rPr>
        <w:t xml:space="preserve">א. המנוח הותיר צוואה, בה הותיר רכושו למנוחה, לשני אחיו ואחייניו. ניתן צו לקיום צוואה ביום </w:t>
      </w:r>
      <w:r w:rsidR="0057693C">
        <w:rPr>
          <w:rFonts w:hint="cs"/>
          <w:rtl/>
        </w:rPr>
        <w:t>00</w:t>
      </w:r>
      <w:r>
        <w:rPr>
          <w:rtl/>
        </w:rPr>
        <w:t>.</w:t>
      </w:r>
      <w:r w:rsidR="0057693C">
        <w:rPr>
          <w:rFonts w:hint="cs"/>
          <w:rtl/>
        </w:rPr>
        <w:t>00</w:t>
      </w:r>
      <w:r>
        <w:rPr>
          <w:rtl/>
        </w:rPr>
        <w:t>.96. במועד מאוחר יותר הסתלקו, המנוחה וייתר היורשים, לטובת התובע.</w:t>
      </w:r>
    </w:p>
    <w:p w:rsidR="000A4C00" w:rsidRDefault="000A4C00" w:rsidP="000A4C00">
      <w:pPr>
        <w:spacing w:line="360" w:lineRule="auto"/>
        <w:jc w:val="both"/>
        <w:rPr>
          <w:rtl/>
        </w:rPr>
      </w:pPr>
      <w:r>
        <w:rPr>
          <w:rtl/>
        </w:rPr>
        <w:t>נוכח האמור – נרשמו הזכויות בנכס על שם התובע, במאי 2014.</w:t>
      </w:r>
    </w:p>
    <w:p w:rsidR="000A4C00" w:rsidRDefault="000A4C00" w:rsidP="000A4C00">
      <w:pPr>
        <w:spacing w:line="360" w:lineRule="auto"/>
        <w:jc w:val="both"/>
        <w:rPr>
          <w:rtl/>
        </w:rPr>
      </w:pPr>
    </w:p>
    <w:p w:rsidR="000A4C00" w:rsidRDefault="000A4C00" w:rsidP="000A4C00">
      <w:pPr>
        <w:spacing w:line="360" w:lineRule="auto"/>
        <w:jc w:val="both"/>
        <w:rPr>
          <w:rtl/>
        </w:rPr>
      </w:pPr>
      <w:r>
        <w:rPr>
          <w:rtl/>
        </w:rPr>
        <w:t xml:space="preserve">ב. </w:t>
      </w:r>
      <w:r w:rsidR="00256F0D">
        <w:rPr>
          <w:rtl/>
        </w:rPr>
        <w:t>א'</w:t>
      </w:r>
      <w:r>
        <w:rPr>
          <w:rtl/>
        </w:rPr>
        <w:t xml:space="preserve"> פנה לרמ"י בטענות כנגד רישום הזכויות, תוך ניסיון לשלול זכויות התובע, עת העלים קיומו של הסכם הממון שנחתם, אשר מחייב לאחר מותה של המנוחה ומהווה מעשה בית דין, שמונע ירושתו של </w:t>
      </w:r>
      <w:r w:rsidR="00256F0D">
        <w:rPr>
          <w:rtl/>
        </w:rPr>
        <w:t>א'</w:t>
      </w:r>
      <w:r>
        <w:rPr>
          <w:rtl/>
        </w:rPr>
        <w:t>, את נכסי המנוחה.</w:t>
      </w:r>
    </w:p>
    <w:p w:rsidR="000A4C00" w:rsidRDefault="000A4C00" w:rsidP="000A4C00">
      <w:pPr>
        <w:spacing w:line="360" w:lineRule="auto"/>
        <w:jc w:val="both"/>
        <w:rPr>
          <w:rtl/>
        </w:rPr>
      </w:pPr>
      <w:r>
        <w:rPr>
          <w:rtl/>
        </w:rPr>
        <w:t>בקשה לביטול צו הירושה של המנוחה לא הוגשה.</w:t>
      </w:r>
    </w:p>
    <w:p w:rsidR="000A4C00" w:rsidRDefault="000A4C00" w:rsidP="000A4C00">
      <w:pPr>
        <w:spacing w:line="360" w:lineRule="auto"/>
        <w:jc w:val="both"/>
        <w:rPr>
          <w:rtl/>
        </w:rPr>
      </w:pPr>
    </w:p>
    <w:p w:rsidR="000A4C00" w:rsidRDefault="000A4C00" w:rsidP="000A4C00">
      <w:pPr>
        <w:spacing w:line="360" w:lineRule="auto"/>
        <w:jc w:val="both"/>
        <w:rPr>
          <w:rtl/>
        </w:rPr>
      </w:pPr>
      <w:r>
        <w:rPr>
          <w:rtl/>
        </w:rPr>
        <w:t xml:space="preserve">ג. כן נטען כי </w:t>
      </w:r>
      <w:r w:rsidR="00256F0D">
        <w:rPr>
          <w:rtl/>
        </w:rPr>
        <w:t>א'</w:t>
      </w:r>
      <w:r>
        <w:rPr>
          <w:rtl/>
        </w:rPr>
        <w:t>, אשר פנה לרשם הירושות, נמנע מהצגת הסכם הממון המחייב ופעל להוציא, במרמה, צו ירושה בעניינה של המנוחה.</w:t>
      </w:r>
    </w:p>
    <w:p w:rsidR="000A4C00" w:rsidRDefault="000A4C00" w:rsidP="000A4C00">
      <w:pPr>
        <w:spacing w:line="360" w:lineRule="auto"/>
        <w:jc w:val="both"/>
        <w:rPr>
          <w:rtl/>
        </w:rPr>
      </w:pPr>
    </w:p>
    <w:p w:rsidR="000A4C00" w:rsidRDefault="000A4C00" w:rsidP="000A4C00">
      <w:pPr>
        <w:spacing w:line="360" w:lineRule="auto"/>
        <w:jc w:val="both"/>
        <w:rPr>
          <w:rtl/>
        </w:rPr>
      </w:pPr>
      <w:r>
        <w:rPr>
          <w:rtl/>
        </w:rPr>
        <w:t>ד. הרישום של רמ"י במאי 2014 – מקים חזקה מנהלית בדבר תקינות הרישום ותיקונו נעשה שלא כדין על ידי רמ"י, כאשר בשלב זה, הנטל להוכיח, אחרת מוטל על כתפי רמ"י.</w:t>
      </w:r>
    </w:p>
    <w:p w:rsidR="000A4C00" w:rsidRDefault="000A4C00" w:rsidP="000A4C00">
      <w:pPr>
        <w:spacing w:line="360" w:lineRule="auto"/>
        <w:jc w:val="both"/>
        <w:rPr>
          <w:rtl/>
        </w:rPr>
      </w:pPr>
    </w:p>
    <w:p w:rsidR="000A4C00" w:rsidRDefault="000A4C00" w:rsidP="0057693C">
      <w:pPr>
        <w:spacing w:line="360" w:lineRule="auto"/>
        <w:jc w:val="both"/>
        <w:rPr>
          <w:rtl/>
        </w:rPr>
      </w:pPr>
      <w:r>
        <w:rPr>
          <w:rtl/>
        </w:rPr>
        <w:t xml:space="preserve">ה. בדיון שני שהתקיים ביום </w:t>
      </w:r>
      <w:r w:rsidR="0057693C">
        <w:rPr>
          <w:rFonts w:hint="cs"/>
          <w:rtl/>
        </w:rPr>
        <w:t>00</w:t>
      </w:r>
      <w:r>
        <w:rPr>
          <w:rtl/>
        </w:rPr>
        <w:t>.</w:t>
      </w:r>
      <w:r w:rsidR="0057693C">
        <w:rPr>
          <w:rFonts w:hint="cs"/>
          <w:rtl/>
        </w:rPr>
        <w:t>00</w:t>
      </w:r>
      <w:r>
        <w:rPr>
          <w:rtl/>
        </w:rPr>
        <w:t>.24, לאחר חילופי מותב, ביקש בית המשפט להבין את עילת התביעה של התובע, וב"כ התובע, השיב, כדלקמן:</w:t>
      </w:r>
    </w:p>
    <w:p w:rsidR="000A4C00" w:rsidRDefault="000A4C00" w:rsidP="000A4C00">
      <w:pPr>
        <w:jc w:val="both"/>
        <w:rPr>
          <w:b/>
          <w:bCs/>
          <w:rtl/>
        </w:rPr>
      </w:pPr>
      <w:r>
        <w:rPr>
          <w:b/>
          <w:bCs/>
          <w:rtl/>
        </w:rPr>
        <w:t xml:space="preserve">"לשאלת בית המשפט למה לא תבענו את רמ"י שביצעה רישום שלא כדין, בהינתן עובדה שאתה טוען שאתה יורש כדין, שיש הסתלקויות לטובתך, למה התביעה נגד מר </w:t>
      </w:r>
      <w:r w:rsidR="00256F0D">
        <w:rPr>
          <w:b/>
          <w:bCs/>
          <w:rtl/>
        </w:rPr>
        <w:t>א'</w:t>
      </w:r>
      <w:r>
        <w:rPr>
          <w:b/>
          <w:bCs/>
          <w:rtl/>
        </w:rPr>
        <w:t xml:space="preserve">, אני משיב שמכיוון שמר </w:t>
      </w:r>
      <w:r w:rsidR="00256F0D">
        <w:rPr>
          <w:b/>
          <w:bCs/>
          <w:rtl/>
        </w:rPr>
        <w:t>א'</w:t>
      </w:r>
      <w:r>
        <w:rPr>
          <w:b/>
          <w:bCs/>
          <w:rtl/>
        </w:rPr>
        <w:t xml:space="preserve"> גרם בפנייתו לרמ"י לבטל את הרישום. </w:t>
      </w:r>
    </w:p>
    <w:p w:rsidR="000A4C00" w:rsidRDefault="000A4C00" w:rsidP="000A4C00">
      <w:pPr>
        <w:jc w:val="both"/>
        <w:rPr>
          <w:b/>
          <w:bCs/>
          <w:rtl/>
        </w:rPr>
      </w:pPr>
      <w:r>
        <w:rPr>
          <w:b/>
          <w:bCs/>
          <w:rtl/>
        </w:rPr>
        <w:t>לשאלת בית המשפט, אני משיב כן תבעתי בתביעה את שאלת השינוי.</w:t>
      </w:r>
    </w:p>
    <w:p w:rsidR="000A4C00" w:rsidRDefault="000A4C00" w:rsidP="000A4C00">
      <w:pPr>
        <w:jc w:val="both"/>
        <w:rPr>
          <w:b/>
          <w:bCs/>
          <w:rtl/>
        </w:rPr>
      </w:pPr>
      <w:r>
        <w:rPr>
          <w:b/>
          <w:bCs/>
          <w:rtl/>
        </w:rPr>
        <w:t>לשאלת בית המשפט במועד הגשת התביעה מה המעמד שלי, אני משיב שהמעמד שלי היה בעל זכויות ובעל רשות במשק.</w:t>
      </w:r>
    </w:p>
    <w:p w:rsidR="000A4C00" w:rsidRDefault="000A4C00" w:rsidP="000A4C00">
      <w:pPr>
        <w:jc w:val="both"/>
        <w:rPr>
          <w:b/>
          <w:bCs/>
          <w:rtl/>
        </w:rPr>
      </w:pPr>
      <w:r>
        <w:rPr>
          <w:b/>
          <w:bCs/>
          <w:rtl/>
        </w:rPr>
        <w:t xml:space="preserve">פסק הדין הוא סעד הצהרתי מול רמ"י. היא הנותנת היא אחראית על הרישום לתובע אין שליטה.  </w:t>
      </w:r>
    </w:p>
    <w:p w:rsidR="000A4C00" w:rsidRDefault="000A4C00" w:rsidP="0057693C">
      <w:pPr>
        <w:jc w:val="both"/>
        <w:rPr>
          <w:b/>
          <w:bCs/>
          <w:rtl/>
        </w:rPr>
      </w:pPr>
      <w:r>
        <w:rPr>
          <w:b/>
          <w:bCs/>
          <w:rtl/>
        </w:rPr>
        <w:t xml:space="preserve">לשאלת בית המשפט אני טוען שהתובע הינו בעל הזכויות הפעולה שרמ"י גרעה את שמו בפעולה מאוחרת יותר, היא פעולה לא נכונה. לכן אמרתי שלו המשיבה רמ"י לא היתה ממסמסת החלטה מ 7.7.24. מי שעלול להיפגע מהחלטה זו אותו מר </w:t>
      </w:r>
      <w:r w:rsidR="00256F0D">
        <w:rPr>
          <w:b/>
          <w:bCs/>
          <w:rtl/>
        </w:rPr>
        <w:t>א'</w:t>
      </w:r>
      <w:r>
        <w:rPr>
          <w:b/>
          <w:bCs/>
          <w:rtl/>
        </w:rPr>
        <w:t>. חזקה על בית משפט זה ועלי במיוחד שכל מי שעלול וספק עלול להיפגע מתביעה מצרפים אותו כמשיב שיתן יומו בביהמ"ש.</w:t>
      </w:r>
    </w:p>
    <w:p w:rsidR="000A4C00" w:rsidRDefault="000A4C00" w:rsidP="0057693C">
      <w:pPr>
        <w:jc w:val="both"/>
        <w:rPr>
          <w:b/>
          <w:bCs/>
          <w:rtl/>
        </w:rPr>
      </w:pPr>
      <w:r>
        <w:rPr>
          <w:b/>
          <w:bCs/>
          <w:rtl/>
        </w:rPr>
        <w:t xml:space="preserve">לשאלת בית המשפט, אני אומר למה צרפתי את </w:t>
      </w:r>
      <w:r w:rsidR="0057693C">
        <w:rPr>
          <w:rFonts w:hint="cs"/>
          <w:b/>
          <w:bCs/>
          <w:rtl/>
        </w:rPr>
        <w:t>א'</w:t>
      </w:r>
      <w:r>
        <w:rPr>
          <w:b/>
          <w:bCs/>
          <w:rtl/>
        </w:rPr>
        <w:t xml:space="preserve"> והוא בעל דין נחוץ לתביעה, מכוון שכל פעולת הגריעה של רמי את התובע והזכויות במשק, נעשתה ביחד ולאור עמדת הנתבע 1.</w:t>
      </w:r>
    </w:p>
    <w:p w:rsidR="000A4C00" w:rsidRDefault="000A4C00" w:rsidP="0057693C">
      <w:pPr>
        <w:jc w:val="both"/>
        <w:rPr>
          <w:b/>
          <w:bCs/>
          <w:rtl/>
        </w:rPr>
      </w:pPr>
      <w:r>
        <w:rPr>
          <w:b/>
          <w:bCs/>
          <w:rtl/>
        </w:rPr>
        <w:t xml:space="preserve">רמ"י עשתה את הפעולה. אם אני אתבע את רמ"י שתעשה צד ג'. לדעתי יש שגיאה בעניין, אני אומר למה, כמה שיותר לצמצם את היריבים כבעלי דין, לי יותר נח, זה יפגע בסופיות הדיון, אין לי בעיה למחוק את </w:t>
      </w:r>
      <w:r w:rsidR="00256F0D">
        <w:rPr>
          <w:b/>
          <w:bCs/>
          <w:rtl/>
        </w:rPr>
        <w:t>א'</w:t>
      </w:r>
      <w:r>
        <w:rPr>
          <w:b/>
          <w:bCs/>
          <w:rtl/>
        </w:rPr>
        <w:t xml:space="preserve"> לא את התביעה ולהשאיר את רמ"י כי הפעולה של רמ"י כרוכה בדיני המשפחה. אני אומר שלא טעתה אלה עשתה בפעולת בכוונת מכוון ומתוך קנוניה. </w:t>
      </w:r>
    </w:p>
    <w:p w:rsidR="000A4C00" w:rsidRDefault="000A4C00" w:rsidP="000A4C00">
      <w:pPr>
        <w:rPr>
          <w:b/>
          <w:bCs/>
          <w:rtl/>
        </w:rPr>
      </w:pPr>
      <w:r>
        <w:rPr>
          <w:b/>
          <w:bCs/>
          <w:rtl/>
        </w:rPr>
        <w:t>....</w:t>
      </w:r>
    </w:p>
    <w:p w:rsidR="000A4C00" w:rsidRDefault="000A4C00" w:rsidP="000A4C00">
      <w:pPr>
        <w:jc w:val="both"/>
        <w:rPr>
          <w:b/>
          <w:bCs/>
          <w:rtl/>
        </w:rPr>
      </w:pPr>
      <w:r>
        <w:rPr>
          <w:b/>
          <w:bCs/>
          <w:rtl/>
        </w:rPr>
        <w:t>לשאלת בית המשפט לגבי המעמד מול רמ"י אני טוען שמעבר למרשם שהיה, אני טוען שרמ"י שללה וגרעה את התובע בניגוד לרישום הזכויות, רמי הנימוק של רמי לשלילה לא היה כי זה היה בטעות, זה עלה אחר כך, בעת הפעולה בנימוק של רמי לשלילה לגריעה רישום שמו של התובע היה בנימוק של טענה מענייני משפחה , נימוק של סעיף 114 לחוק הירושה שהוא ענייני משפחה בין הנתבע 1 תובע. הנימוק של רמ"י להחלטה זה הסיפור.  כן נעשה טעות לא נעשה טעות הטעות של הפעולה, הנימוק של הפקיד שלא היה מוסמך , נימוק של ענייני משפחה.</w:t>
      </w:r>
    </w:p>
    <w:p w:rsidR="000A4C00" w:rsidRDefault="000A4C00" w:rsidP="000A4C00">
      <w:pPr>
        <w:jc w:val="both"/>
        <w:rPr>
          <w:b/>
          <w:bCs/>
          <w:rtl/>
        </w:rPr>
      </w:pPr>
    </w:p>
    <w:p w:rsidR="000A4C00" w:rsidRDefault="000A4C00" w:rsidP="0057693C">
      <w:pPr>
        <w:jc w:val="both"/>
        <w:rPr>
          <w:b/>
          <w:bCs/>
          <w:rtl/>
        </w:rPr>
      </w:pPr>
      <w:r>
        <w:rPr>
          <w:b/>
          <w:bCs/>
          <w:rtl/>
        </w:rPr>
        <w:t xml:space="preserve">לגבי מר </w:t>
      </w:r>
      <w:r w:rsidR="00256F0D">
        <w:rPr>
          <w:b/>
          <w:bCs/>
          <w:rtl/>
        </w:rPr>
        <w:t>א'</w:t>
      </w:r>
      <w:r>
        <w:rPr>
          <w:b/>
          <w:bCs/>
          <w:rtl/>
        </w:rPr>
        <w:t xml:space="preserve">, מר </w:t>
      </w:r>
      <w:r w:rsidR="00256F0D">
        <w:rPr>
          <w:b/>
          <w:bCs/>
          <w:rtl/>
        </w:rPr>
        <w:t>א'</w:t>
      </w:r>
      <w:r>
        <w:rPr>
          <w:b/>
          <w:bCs/>
          <w:rtl/>
        </w:rPr>
        <w:t xml:space="preserve"> גרר עצמו למחלוקת, המעמד שלי שהוא טוען לזכות נוגדת במשק מכח דיני משפחה ואין לו זכות כזו והוא מסכל. מה </w:t>
      </w:r>
      <w:r w:rsidR="0057693C">
        <w:rPr>
          <w:rFonts w:hint="cs"/>
          <w:b/>
          <w:bCs/>
          <w:rtl/>
        </w:rPr>
        <w:t>א'</w:t>
      </w:r>
      <w:r>
        <w:rPr>
          <w:b/>
          <w:bCs/>
          <w:rtl/>
        </w:rPr>
        <w:t xml:space="preserve"> עשה תביעה שכנגד. </w:t>
      </w:r>
    </w:p>
    <w:p w:rsidR="000A4C00" w:rsidRDefault="000A4C00" w:rsidP="0057693C">
      <w:pPr>
        <w:jc w:val="both"/>
        <w:rPr>
          <w:b/>
          <w:bCs/>
          <w:rtl/>
        </w:rPr>
      </w:pPr>
      <w:r>
        <w:rPr>
          <w:b/>
          <w:bCs/>
          <w:rtl/>
        </w:rPr>
        <w:t xml:space="preserve">המעמד שלי טענות מגן ולא חרב כי </w:t>
      </w:r>
      <w:r w:rsidR="00256F0D">
        <w:rPr>
          <w:b/>
          <w:bCs/>
          <w:rtl/>
        </w:rPr>
        <w:t>א'</w:t>
      </w:r>
      <w:r>
        <w:rPr>
          <w:b/>
          <w:bCs/>
          <w:rtl/>
        </w:rPr>
        <w:t xml:space="preserve"> סיכל מימוש הזכויות של התובע במשק.  </w:t>
      </w:r>
    </w:p>
    <w:p w:rsidR="000A4C00" w:rsidRDefault="000A4C00" w:rsidP="0057693C">
      <w:pPr>
        <w:jc w:val="both"/>
        <w:rPr>
          <w:rtl/>
        </w:rPr>
      </w:pPr>
      <w:r>
        <w:rPr>
          <w:b/>
          <w:bCs/>
          <w:u w:val="single"/>
          <w:rtl/>
        </w:rPr>
        <w:lastRenderedPageBreak/>
        <w:t xml:space="preserve">עילת התביעה היא כזו, היא ששני הנתבעים אשמים במודע בגריעת שמו שלא כדין של התובע מזכויותיו במשק. נטל הראיה להוכיח שחלה חזקת מנהלית על הגריעה מוטל על המשיבה 1. מכיוון שרשות מנהלית עושה פעולה, חל עליה חזקת התקינות. הנימוק שנעשתה טעות ונימוק לקבלת הפניות והתלונות של הנתבע 1, </w:t>
      </w:r>
      <w:r w:rsidR="00256F0D">
        <w:rPr>
          <w:b/>
          <w:bCs/>
          <w:u w:val="single"/>
          <w:rtl/>
        </w:rPr>
        <w:t>א'</w:t>
      </w:r>
      <w:r>
        <w:rPr>
          <w:b/>
          <w:bCs/>
          <w:u w:val="single"/>
          <w:rtl/>
        </w:rPr>
        <w:t>, הן קשורים, שניהם ביחד הביאו לתוצאה של עיוות דין לתובע ושלילת זכויות הקניינית במשק. לכן יש עילת תביעה, הן כנגד נתבע 1 ונתבע 2, הם שניהם מסונכרנים."</w:t>
      </w:r>
      <w:r>
        <w:rPr>
          <w:rtl/>
        </w:rPr>
        <w:t xml:space="preserve"> (הדגשה שלי – ד.פ.ו.)</w:t>
      </w:r>
    </w:p>
    <w:p w:rsidR="000A4C00" w:rsidRDefault="000A4C00" w:rsidP="000A4C00">
      <w:pPr>
        <w:spacing w:line="360" w:lineRule="auto"/>
        <w:jc w:val="both"/>
        <w:rPr>
          <w:rtl/>
        </w:rPr>
      </w:pPr>
    </w:p>
    <w:p w:rsidR="000A4C00" w:rsidRDefault="000A4C00" w:rsidP="000A4C00">
      <w:pPr>
        <w:spacing w:line="360" w:lineRule="auto"/>
        <w:jc w:val="both"/>
        <w:rPr>
          <w:rtl/>
        </w:rPr>
      </w:pPr>
      <w:r>
        <w:rPr>
          <w:rFonts w:hint="cs"/>
          <w:rtl/>
        </w:rPr>
        <w:t xml:space="preserve">ב"כ התובע ביקש להדגיש כי תביעתו מופנית, בעיקרה, כלפי רמ"י וכי </w:t>
      </w:r>
      <w:r w:rsidR="00256F0D">
        <w:rPr>
          <w:rFonts w:hint="cs"/>
          <w:rtl/>
        </w:rPr>
        <w:t>א</w:t>
      </w:r>
      <w:r w:rsidR="00256F0D">
        <w:rPr>
          <w:rtl/>
        </w:rPr>
        <w:t>'</w:t>
      </w:r>
      <w:r>
        <w:rPr>
          <w:rFonts w:hint="cs"/>
          <w:rtl/>
        </w:rPr>
        <w:t xml:space="preserve"> היה חלק מהליך קבלת ההחלטות.</w:t>
      </w:r>
    </w:p>
    <w:p w:rsidR="000A4C00" w:rsidRDefault="000A4C00" w:rsidP="000A4C00">
      <w:pPr>
        <w:rPr>
          <w:rtl/>
        </w:rPr>
      </w:pPr>
    </w:p>
    <w:p w:rsidR="000A4C00" w:rsidRDefault="000A4C00" w:rsidP="000A4C00">
      <w:pPr>
        <w:spacing w:line="360" w:lineRule="auto"/>
        <w:jc w:val="both"/>
        <w:rPr>
          <w:rtl/>
        </w:rPr>
      </w:pPr>
      <w:r>
        <w:rPr>
          <w:rtl/>
        </w:rPr>
        <w:t xml:space="preserve">11. בקשת הסף שלפני, שהוגשה על ידי </w:t>
      </w:r>
      <w:r w:rsidR="00256F0D">
        <w:rPr>
          <w:rtl/>
        </w:rPr>
        <w:t>א'</w:t>
      </w:r>
      <w:r>
        <w:rPr>
          <w:rtl/>
        </w:rPr>
        <w:t xml:space="preserve">, מבוססת על מספר טעמים: </w:t>
      </w:r>
    </w:p>
    <w:p w:rsidR="000A4C00" w:rsidRDefault="000A4C00" w:rsidP="000A4C00">
      <w:pPr>
        <w:spacing w:line="360" w:lineRule="auto"/>
        <w:jc w:val="both"/>
        <w:rPr>
          <w:rtl/>
        </w:rPr>
      </w:pPr>
    </w:p>
    <w:p w:rsidR="000A4C00" w:rsidRDefault="000A4C00" w:rsidP="000A4C00">
      <w:pPr>
        <w:spacing w:line="360" w:lineRule="auto"/>
        <w:jc w:val="both"/>
        <w:rPr>
          <w:rtl/>
        </w:rPr>
      </w:pPr>
      <w:r>
        <w:rPr>
          <w:rtl/>
        </w:rPr>
        <w:t xml:space="preserve">א. </w:t>
      </w:r>
      <w:r>
        <w:rPr>
          <w:u w:val="single"/>
          <w:rtl/>
        </w:rPr>
        <w:t>העדר עילה ו/או העדר יריבות</w:t>
      </w:r>
      <w:r>
        <w:rPr>
          <w:rtl/>
        </w:rPr>
        <w:t xml:space="preserve"> – התובע אינו זכאי להרשם כבעל זכויות הנכס, היות ואינו יורשם כדין של בעלי הזכות המקוריים ובהינתן הוראות הסכם המשבצת.</w:t>
      </w:r>
    </w:p>
    <w:p w:rsidR="000A4C00" w:rsidRDefault="000A4C00" w:rsidP="000A4C00">
      <w:pPr>
        <w:rPr>
          <w:rtl/>
        </w:rPr>
      </w:pPr>
    </w:p>
    <w:p w:rsidR="000A4C00" w:rsidRDefault="000A4C00" w:rsidP="000A4C00">
      <w:pPr>
        <w:spacing w:line="360" w:lineRule="auto"/>
        <w:jc w:val="both"/>
        <w:rPr>
          <w:rtl/>
        </w:rPr>
      </w:pPr>
      <w:r>
        <w:rPr>
          <w:rtl/>
        </w:rPr>
        <w:t xml:space="preserve">ב. </w:t>
      </w:r>
      <w:r>
        <w:rPr>
          <w:u w:val="single"/>
          <w:rtl/>
        </w:rPr>
        <w:t>חוסר תום לב</w:t>
      </w:r>
      <w:r>
        <w:rPr>
          <w:rtl/>
        </w:rPr>
        <w:t xml:space="preserve"> – התובע נרשם כבעל זכויות בחוסר תום לב מצידו, תוך הטעיה ומרמה בשל זהות שמו ושם המנוח, עת אין לו זכות מהותית להרשם כבעל זכויות. התובע מנסה להאחז בטעות שנעשתה על ידי רמ"י, תוך הטעיה, חוסר תום לב ונסיון להתעשר שלא כדין.</w:t>
      </w:r>
    </w:p>
    <w:p w:rsidR="000A4C00" w:rsidRDefault="000A4C00" w:rsidP="000A4C00">
      <w:pPr>
        <w:spacing w:line="360" w:lineRule="auto"/>
        <w:jc w:val="both"/>
        <w:rPr>
          <w:rtl/>
        </w:rPr>
      </w:pPr>
    </w:p>
    <w:p w:rsidR="000A4C00" w:rsidRDefault="000A4C00" w:rsidP="000A4C00">
      <w:pPr>
        <w:spacing w:line="360" w:lineRule="auto"/>
        <w:jc w:val="both"/>
        <w:rPr>
          <w:rtl/>
        </w:rPr>
      </w:pPr>
      <w:r>
        <w:rPr>
          <w:rtl/>
        </w:rPr>
        <w:t xml:space="preserve">ג. </w:t>
      </w:r>
      <w:r>
        <w:rPr>
          <w:u w:val="single"/>
          <w:rtl/>
        </w:rPr>
        <w:t>התיישנות</w:t>
      </w:r>
      <w:r>
        <w:rPr>
          <w:rtl/>
        </w:rPr>
        <w:t xml:space="preserve"> – המנוחה הלכה לעולמה בשנת 2011, כאשר </w:t>
      </w:r>
      <w:r w:rsidR="00256F0D">
        <w:rPr>
          <w:rtl/>
        </w:rPr>
        <w:t>א'</w:t>
      </w:r>
      <w:r>
        <w:rPr>
          <w:rtl/>
        </w:rPr>
        <w:t xml:space="preserve"> המשיך להתגורר בנכס (בהמשך ל- 11 שנים בהם התגורר עם המנוחה). במהלך שנות מגוריו בנכס, בחר התובע שלא להגיש כל תביעת בעלות, ובחלוף 7 שנים, אין הזכות עוד עומדת לו, ולחילופין חלפו 7 שנים מהמועד בו הודיעה לו רמ"י על תיקון אישור הזכויות, 02.07.14.</w:t>
      </w:r>
    </w:p>
    <w:p w:rsidR="000A4C00" w:rsidRDefault="000A4C00" w:rsidP="000A4C00">
      <w:pPr>
        <w:spacing w:line="360" w:lineRule="auto"/>
        <w:jc w:val="both"/>
        <w:rPr>
          <w:rtl/>
        </w:rPr>
      </w:pPr>
    </w:p>
    <w:p w:rsidR="000A4C00" w:rsidRDefault="000A4C00" w:rsidP="000A4C00">
      <w:pPr>
        <w:spacing w:line="360" w:lineRule="auto"/>
        <w:jc w:val="both"/>
        <w:rPr>
          <w:rtl/>
        </w:rPr>
      </w:pPr>
      <w:r>
        <w:rPr>
          <w:rtl/>
        </w:rPr>
        <w:t xml:space="preserve">ד. בנוסף – במעמד הדיונים שהתקיימו, נשאלו הצדדים, על ידי בית המשפט, באשר </w:t>
      </w:r>
      <w:r>
        <w:rPr>
          <w:u w:val="single"/>
          <w:rtl/>
        </w:rPr>
        <w:t>לסמכות העניינית</w:t>
      </w:r>
      <w:r>
        <w:rPr>
          <w:rtl/>
        </w:rPr>
        <w:t xml:space="preserve"> של בית המשפט לענייני משפחה לדון בתובענה, לבטח זו כנגד רמ"י, כאשר עוד בדיון הראשון, הודיע בא כוחו של </w:t>
      </w:r>
      <w:r w:rsidR="00256F0D">
        <w:rPr>
          <w:rtl/>
        </w:rPr>
        <w:t>ב'</w:t>
      </w:r>
      <w:r>
        <w:rPr>
          <w:rtl/>
        </w:rPr>
        <w:t xml:space="preserve"> כי "</w:t>
      </w:r>
      <w:r>
        <w:rPr>
          <w:b/>
          <w:bCs/>
          <w:rtl/>
        </w:rPr>
        <w:t>יכול להיות שנגיש עתירה מנהלית, אבל בוודאות צריך להיות מוכרע כאן</w:t>
      </w:r>
      <w:r>
        <w:rPr>
          <w:rtl/>
        </w:rPr>
        <w:t>". שאלת הסמכות העניינית, שהועלתה על ידי בית המשפט, כבר בדיון הראשון, מהווה גם טעם לבחינת סילוק על הסף של התובענה.</w:t>
      </w:r>
    </w:p>
    <w:p w:rsidR="000A4C00" w:rsidRDefault="000A4C00" w:rsidP="000A4C00">
      <w:pPr>
        <w:spacing w:line="360" w:lineRule="auto"/>
        <w:jc w:val="both"/>
        <w:rPr>
          <w:rtl/>
        </w:rPr>
      </w:pPr>
    </w:p>
    <w:p w:rsidR="000A4C00" w:rsidRDefault="000A4C00" w:rsidP="000A4C00">
      <w:pPr>
        <w:spacing w:line="360" w:lineRule="auto"/>
        <w:jc w:val="both"/>
        <w:rPr>
          <w:rtl/>
        </w:rPr>
      </w:pPr>
      <w:r>
        <w:rPr>
          <w:rtl/>
        </w:rPr>
        <w:t xml:space="preserve">12. כאמור, </w:t>
      </w:r>
      <w:r w:rsidR="00256F0D">
        <w:rPr>
          <w:rtl/>
        </w:rPr>
        <w:t>א'</w:t>
      </w:r>
      <w:r>
        <w:rPr>
          <w:rtl/>
        </w:rPr>
        <w:t xml:space="preserve"> הגיש תביעה שכנגד, נגד הנתבעים כאן, למתן פסק דין הצהרתי, כי הוא זכאי להרשם כבר רשות בנכס, ולמתן צו עשה, לרמ"י, לרשום הזכויות בספריו והכל בהתאם להסכם המשבצת. הסכם הקובע, כי עם מות חבר אגודה, בעניינינו המנוחה, זכאי בן זוגו, בעניינינו </w:t>
      </w:r>
      <w:r w:rsidR="00256F0D">
        <w:rPr>
          <w:rtl/>
        </w:rPr>
        <w:t>א'</w:t>
      </w:r>
      <w:r>
        <w:rPr>
          <w:rtl/>
        </w:rPr>
        <w:t>, להרשם כבעל הזכויות והכל עת אין הנחלה חלק מעזבונו של חבר האגודה.</w:t>
      </w:r>
    </w:p>
    <w:p w:rsidR="000A4C00" w:rsidRDefault="000A4C00" w:rsidP="000A4C00">
      <w:pPr>
        <w:spacing w:line="360" w:lineRule="auto"/>
        <w:jc w:val="both"/>
        <w:rPr>
          <w:rtl/>
        </w:rPr>
      </w:pPr>
    </w:p>
    <w:p w:rsidR="000A4C00" w:rsidRDefault="000A4C00" w:rsidP="000A4C00">
      <w:pPr>
        <w:spacing w:line="360" w:lineRule="auto"/>
        <w:jc w:val="both"/>
        <w:rPr>
          <w:rtl/>
        </w:rPr>
      </w:pPr>
      <w:r>
        <w:rPr>
          <w:rtl/>
        </w:rPr>
        <w:lastRenderedPageBreak/>
        <w:t>כן טען, כי המגבלות החלות בעניינו, בהתאם לנהלי רמ"י, באשר להחזקתו במשק נוסף, אינן מונעות רישום הזכויות, בשל כוונתו להביא להכשרתם כדין, בהתאם לנהלים.</w:t>
      </w:r>
    </w:p>
    <w:p w:rsidR="000A4C00" w:rsidRDefault="000A4C00" w:rsidP="000A4C00">
      <w:pPr>
        <w:spacing w:line="360" w:lineRule="auto"/>
        <w:jc w:val="both"/>
        <w:rPr>
          <w:rtl/>
        </w:rPr>
      </w:pPr>
      <w:r>
        <w:rPr>
          <w:rtl/>
        </w:rPr>
        <w:t>בנוסף טען, כי ל</w:t>
      </w:r>
      <w:r w:rsidR="00256F0D">
        <w:rPr>
          <w:rtl/>
        </w:rPr>
        <w:t>ב'</w:t>
      </w:r>
      <w:r>
        <w:rPr>
          <w:rtl/>
        </w:rPr>
        <w:t xml:space="preserve"> אין "יריבות" בשאלת זכויותיו של </w:t>
      </w:r>
      <w:r w:rsidR="00256F0D">
        <w:rPr>
          <w:rtl/>
        </w:rPr>
        <w:t>א'</w:t>
      </w:r>
      <w:r>
        <w:rPr>
          <w:rtl/>
        </w:rPr>
        <w:t xml:space="preserve"> ואף אם היה יריב, הסכם הממון אינו תקף לאחר מות המנוחה. עוד טען שאף אם היה מקום לקבוע כי אינו יורש נוכח הסכם הממון, יש לקבוע כי הוא בר רשות, בהתאם להסכם המשבצת.</w:t>
      </w:r>
    </w:p>
    <w:p w:rsidR="000A4C00" w:rsidRDefault="000A4C00" w:rsidP="000A4C00">
      <w:pPr>
        <w:spacing w:line="360" w:lineRule="auto"/>
        <w:jc w:val="both"/>
        <w:rPr>
          <w:rtl/>
        </w:rPr>
      </w:pPr>
    </w:p>
    <w:p w:rsidR="000A4C00" w:rsidRDefault="000A4C00" w:rsidP="000A4C00">
      <w:pPr>
        <w:spacing w:line="360" w:lineRule="auto"/>
        <w:jc w:val="both"/>
        <w:rPr>
          <w:rtl/>
        </w:rPr>
      </w:pPr>
      <w:r>
        <w:rPr>
          <w:rtl/>
        </w:rPr>
        <w:t xml:space="preserve">13. </w:t>
      </w:r>
      <w:r w:rsidR="00256F0D">
        <w:rPr>
          <w:rtl/>
        </w:rPr>
        <w:t>ב'</w:t>
      </w:r>
      <w:r>
        <w:rPr>
          <w:rtl/>
        </w:rPr>
        <w:t xml:space="preserve"> הגיש בקשה לסילוק התביעה שכנגד, על הסף בטענה, למעשה בי-דין והשתק עילה, נוכח פסק הדין שנתן תוקף להסכם ממון. בקשה זו תידון ותוכרע בנפרד.</w:t>
      </w:r>
    </w:p>
    <w:p w:rsidR="000A4C00" w:rsidRDefault="000A4C00" w:rsidP="000A4C00">
      <w:pPr>
        <w:spacing w:line="360" w:lineRule="auto"/>
        <w:jc w:val="both"/>
        <w:rPr>
          <w:rtl/>
        </w:rPr>
      </w:pPr>
    </w:p>
    <w:p w:rsidR="000A4C00" w:rsidRDefault="000A4C00" w:rsidP="000A4C00">
      <w:pPr>
        <w:rPr>
          <w:u w:val="single"/>
          <w:rtl/>
        </w:rPr>
      </w:pPr>
      <w:r>
        <w:rPr>
          <w:u w:val="single"/>
          <w:rtl/>
        </w:rPr>
        <w:t>14. נוכח כלל האמור לעיל, ניתן לזקק הנקודות הבאות:</w:t>
      </w:r>
    </w:p>
    <w:p w:rsidR="000A4C00" w:rsidRDefault="000A4C00" w:rsidP="000A4C00">
      <w:pPr>
        <w:rPr>
          <w:rtl/>
        </w:rPr>
      </w:pPr>
    </w:p>
    <w:p w:rsidR="000A4C00" w:rsidRDefault="000A4C00" w:rsidP="000A4C00">
      <w:pPr>
        <w:spacing w:line="360" w:lineRule="auto"/>
        <w:rPr>
          <w:rtl/>
        </w:rPr>
      </w:pPr>
      <w:r>
        <w:rPr>
          <w:rtl/>
        </w:rPr>
        <w:t>הנכס רשום בסוכנות על שם המנוחים.</w:t>
      </w:r>
    </w:p>
    <w:p w:rsidR="000A4C00" w:rsidRDefault="000A4C00" w:rsidP="000A4C00">
      <w:pPr>
        <w:spacing w:line="360" w:lineRule="auto"/>
        <w:rPr>
          <w:rtl/>
        </w:rPr>
      </w:pPr>
      <w:r>
        <w:rPr>
          <w:rtl/>
        </w:rPr>
        <w:t>הנכס ברמ"י היה רשום על שם המנוח, ללא מספר זהות, עד ליום 24.05.14.</w:t>
      </w:r>
    </w:p>
    <w:p w:rsidR="000A4C00" w:rsidRDefault="000A4C00" w:rsidP="000A4C00">
      <w:pPr>
        <w:spacing w:line="360" w:lineRule="auto"/>
        <w:rPr>
          <w:rtl/>
        </w:rPr>
      </w:pPr>
      <w:r>
        <w:rPr>
          <w:rtl/>
        </w:rPr>
        <w:t>לתובע ולמנוח שמות זהים.</w:t>
      </w:r>
    </w:p>
    <w:p w:rsidR="000A4C00" w:rsidRDefault="000A4C00" w:rsidP="000A4C00">
      <w:pPr>
        <w:spacing w:line="360" w:lineRule="auto"/>
        <w:rPr>
          <w:rtl/>
        </w:rPr>
      </w:pPr>
      <w:r>
        <w:rPr>
          <w:rtl/>
        </w:rPr>
        <w:t xml:space="preserve">ביום 24.05.14 הוסף לרישום מס' זהותו של </w:t>
      </w:r>
      <w:r w:rsidR="00256F0D">
        <w:rPr>
          <w:rtl/>
        </w:rPr>
        <w:t>ב'</w:t>
      </w:r>
      <w:r>
        <w:rPr>
          <w:rtl/>
        </w:rPr>
        <w:t>, לאחר שבאת כוח הציגה יפוי כוח מטעמו.</w:t>
      </w:r>
    </w:p>
    <w:p w:rsidR="000A4C00" w:rsidRDefault="000A4C00" w:rsidP="000A4C00">
      <w:pPr>
        <w:spacing w:line="360" w:lineRule="auto"/>
        <w:rPr>
          <w:rtl/>
        </w:rPr>
      </w:pPr>
      <w:r>
        <w:rPr>
          <w:rtl/>
        </w:rPr>
        <w:t>ביום 02.07.14 הודיע רמ"י על תיקון הטעות ברישום וביטולו והופק אישור זכויות עם מס' זהותו של המנוח.</w:t>
      </w:r>
    </w:p>
    <w:p w:rsidR="000A4C00" w:rsidRDefault="00256F0D" w:rsidP="000A4C00">
      <w:pPr>
        <w:spacing w:line="360" w:lineRule="auto"/>
        <w:rPr>
          <w:rtl/>
        </w:rPr>
      </w:pPr>
      <w:r>
        <w:rPr>
          <w:rtl/>
        </w:rPr>
        <w:t>ב'</w:t>
      </w:r>
      <w:r w:rsidR="000A4C00">
        <w:rPr>
          <w:rtl/>
        </w:rPr>
        <w:t xml:space="preserve"> יורש כדין בצו ירושה שניתן בעניינו של המנוח.</w:t>
      </w:r>
    </w:p>
    <w:p w:rsidR="000A4C00" w:rsidRDefault="000A4C00" w:rsidP="000A4C00">
      <w:pPr>
        <w:spacing w:line="360" w:lineRule="auto"/>
        <w:rPr>
          <w:rtl/>
        </w:rPr>
      </w:pPr>
      <w:r>
        <w:rPr>
          <w:rtl/>
        </w:rPr>
        <w:t xml:space="preserve">אין בידי </w:t>
      </w:r>
      <w:r w:rsidR="00256F0D">
        <w:rPr>
          <w:rtl/>
        </w:rPr>
        <w:t>ב'</w:t>
      </w:r>
      <w:r>
        <w:rPr>
          <w:rtl/>
        </w:rPr>
        <w:t xml:space="preserve"> צוואה שנערכה, על ידי המנוח ובכלל.</w:t>
      </w:r>
    </w:p>
    <w:p w:rsidR="000A4C00" w:rsidRDefault="000A4C00" w:rsidP="000A4C00">
      <w:pPr>
        <w:spacing w:line="360" w:lineRule="auto"/>
        <w:rPr>
          <w:rtl/>
        </w:rPr>
      </w:pPr>
      <w:r>
        <w:rPr>
          <w:rtl/>
        </w:rPr>
        <w:t xml:space="preserve">אין בידי </w:t>
      </w:r>
      <w:r w:rsidR="00256F0D">
        <w:rPr>
          <w:rtl/>
        </w:rPr>
        <w:t>ב'</w:t>
      </w:r>
      <w:r>
        <w:rPr>
          <w:rtl/>
        </w:rPr>
        <w:t xml:space="preserve"> כתבי הסתלקות של מי מיורשי המנוח.</w:t>
      </w:r>
    </w:p>
    <w:p w:rsidR="000A4C00" w:rsidRDefault="000A4C00" w:rsidP="000A4C00">
      <w:pPr>
        <w:spacing w:line="360" w:lineRule="auto"/>
        <w:rPr>
          <w:rtl/>
        </w:rPr>
      </w:pPr>
      <w:r>
        <w:rPr>
          <w:rtl/>
        </w:rPr>
        <w:t xml:space="preserve">אין בידי </w:t>
      </w:r>
      <w:r w:rsidR="00256F0D">
        <w:rPr>
          <w:rtl/>
        </w:rPr>
        <w:t>ב'</w:t>
      </w:r>
      <w:r>
        <w:rPr>
          <w:rtl/>
        </w:rPr>
        <w:t xml:space="preserve"> צו לקיום צוואה בעניינו של המנוח.</w:t>
      </w:r>
    </w:p>
    <w:p w:rsidR="000A4C00" w:rsidRDefault="00256F0D" w:rsidP="000A4C00">
      <w:pPr>
        <w:spacing w:line="360" w:lineRule="auto"/>
        <w:rPr>
          <w:rtl/>
        </w:rPr>
      </w:pPr>
      <w:r>
        <w:rPr>
          <w:rtl/>
        </w:rPr>
        <w:t>ב'</w:t>
      </w:r>
      <w:r w:rsidR="000A4C00">
        <w:rPr>
          <w:rtl/>
        </w:rPr>
        <w:t xml:space="preserve"> אינו יורש, בהתאם לצו הירושה שניתן בעניינה של המנוחה.</w:t>
      </w:r>
    </w:p>
    <w:p w:rsidR="000A4C00" w:rsidRDefault="000A4C00" w:rsidP="000A4C00">
      <w:pPr>
        <w:spacing w:line="360" w:lineRule="auto"/>
        <w:rPr>
          <w:rtl/>
        </w:rPr>
      </w:pPr>
      <w:r>
        <w:rPr>
          <w:rtl/>
        </w:rPr>
        <w:t>בין רמ"י הסוכנות והאגודה, נחתם הסכם משולש, להשכרת משבצות.</w:t>
      </w:r>
    </w:p>
    <w:p w:rsidR="000A4C00" w:rsidRDefault="000A4C00" w:rsidP="000A4C00">
      <w:pPr>
        <w:spacing w:line="360" w:lineRule="auto"/>
        <w:rPr>
          <w:rtl/>
        </w:rPr>
      </w:pPr>
      <w:r>
        <w:rPr>
          <w:rtl/>
        </w:rPr>
        <w:t>הסכם המשבצת קובע אופן העברת זכויות.</w:t>
      </w:r>
    </w:p>
    <w:p w:rsidR="000A4C00" w:rsidRDefault="00256F0D" w:rsidP="000A4C00">
      <w:pPr>
        <w:spacing w:line="360" w:lineRule="auto"/>
        <w:rPr>
          <w:rtl/>
        </w:rPr>
      </w:pPr>
      <w:r>
        <w:rPr>
          <w:rtl/>
        </w:rPr>
        <w:t>א'</w:t>
      </w:r>
      <w:r w:rsidR="000A4C00">
        <w:rPr>
          <w:rtl/>
        </w:rPr>
        <w:t xml:space="preserve"> נישא למנוחה בשנת 2000 ומאז ועד היום מתגורר בנכס.</w:t>
      </w:r>
    </w:p>
    <w:p w:rsidR="000A4C00" w:rsidRDefault="000A4C00" w:rsidP="000A4C00">
      <w:pPr>
        <w:spacing w:line="360" w:lineRule="auto"/>
        <w:rPr>
          <w:rtl/>
        </w:rPr>
      </w:pPr>
      <w:r>
        <w:rPr>
          <w:rtl/>
        </w:rPr>
        <w:t>בין המנוחה ל</w:t>
      </w:r>
      <w:r w:rsidR="00256F0D">
        <w:rPr>
          <w:rtl/>
        </w:rPr>
        <w:t>א'</w:t>
      </w:r>
      <w:r>
        <w:rPr>
          <w:rtl/>
        </w:rPr>
        <w:t xml:space="preserve"> נחתם הסכם ממון שקיבל תוקף של פסק דין.</w:t>
      </w:r>
    </w:p>
    <w:p w:rsidR="000A4C00" w:rsidRDefault="000A4C00" w:rsidP="000A4C00">
      <w:pPr>
        <w:spacing w:line="360" w:lineRule="auto"/>
        <w:rPr>
          <w:rtl/>
        </w:rPr>
      </w:pPr>
      <w:r>
        <w:rPr>
          <w:rtl/>
        </w:rPr>
        <w:t>בהסכם הממון לא עוגנו הוראות, המתיימרות, ולו לכאורה, להסדיר חלוקת רכוש לאחר המוות.</w:t>
      </w:r>
    </w:p>
    <w:p w:rsidR="000A4C00" w:rsidRDefault="000A4C00" w:rsidP="000A4C00">
      <w:pPr>
        <w:rPr>
          <w:rtl/>
        </w:rPr>
      </w:pPr>
    </w:p>
    <w:p w:rsidR="000A4C00" w:rsidRDefault="000A4C00" w:rsidP="000A4C00">
      <w:pPr>
        <w:spacing w:line="360" w:lineRule="auto"/>
        <w:jc w:val="both"/>
        <w:rPr>
          <w:rFonts w:ascii="Arial" w:hAnsi="Arial"/>
          <w:b/>
          <w:bCs/>
          <w:noProof w:val="0"/>
          <w:sz w:val="28"/>
          <w:szCs w:val="28"/>
          <w:u w:val="single"/>
          <w:rtl/>
        </w:rPr>
      </w:pPr>
    </w:p>
    <w:p w:rsidR="000A4C00" w:rsidRDefault="000A4C00" w:rsidP="000A4C00">
      <w:pPr>
        <w:spacing w:line="360" w:lineRule="auto"/>
        <w:jc w:val="both"/>
        <w:rPr>
          <w:noProof w:val="0"/>
          <w:sz w:val="28"/>
          <w:szCs w:val="28"/>
          <w:rtl/>
        </w:rPr>
      </w:pPr>
      <w:r>
        <w:rPr>
          <w:rFonts w:ascii="Arial" w:hAnsi="Arial"/>
          <w:b/>
          <w:bCs/>
          <w:noProof w:val="0"/>
          <w:sz w:val="28"/>
          <w:szCs w:val="28"/>
          <w:u w:val="single"/>
          <w:rtl/>
        </w:rPr>
        <w:t>סילוק על הסף</w:t>
      </w:r>
    </w:p>
    <w:p w:rsidR="000A4C00" w:rsidRDefault="000A4C00" w:rsidP="000A4C00">
      <w:pPr>
        <w:spacing w:line="360" w:lineRule="auto"/>
        <w:jc w:val="both"/>
        <w:rPr>
          <w:noProof w:val="0"/>
          <w:rtl/>
        </w:rPr>
      </w:pPr>
    </w:p>
    <w:p w:rsidR="000A4C00" w:rsidRDefault="000A4C00" w:rsidP="000A4C00">
      <w:pPr>
        <w:spacing w:line="360" w:lineRule="auto"/>
        <w:jc w:val="both"/>
        <w:rPr>
          <w:noProof w:val="0"/>
          <w:rtl/>
        </w:rPr>
      </w:pPr>
      <w:r>
        <w:rPr>
          <w:rFonts w:hint="cs"/>
          <w:noProof w:val="0"/>
          <w:rtl/>
        </w:rPr>
        <w:t xml:space="preserve">15. הוראות הדין הרלוונטיות לעניינינו מעוגנות בתקנות </w:t>
      </w:r>
      <w:hyperlink r:id="rId11" w:history="1">
        <w:r>
          <w:rPr>
            <w:rStyle w:val="Hyperlink"/>
            <w:b/>
            <w:bCs/>
            <w:noProof w:val="0"/>
            <w:rtl/>
          </w:rPr>
          <w:t>תקנות סדר הדין האזרחי, התשע"ט</w:t>
        </w:r>
      </w:hyperlink>
      <w:r>
        <w:rPr>
          <w:noProof w:val="0"/>
          <w:rtl/>
        </w:rPr>
        <w:t xml:space="preserve">-2018 </w:t>
      </w:r>
      <w:r>
        <w:rPr>
          <w:rFonts w:hint="cs"/>
          <w:noProof w:val="0"/>
          <w:rtl/>
        </w:rPr>
        <w:t>ה</w:t>
      </w:r>
      <w:r>
        <w:rPr>
          <w:noProof w:val="0"/>
          <w:rtl/>
        </w:rPr>
        <w:t>קובעות כדלקמן:</w:t>
      </w:r>
    </w:p>
    <w:p w:rsidR="00C42175" w:rsidRDefault="00C42175" w:rsidP="000A4C00">
      <w:pPr>
        <w:spacing w:line="360" w:lineRule="auto"/>
        <w:jc w:val="both"/>
        <w:rPr>
          <w:noProof w:val="0"/>
          <w:rtl/>
        </w:rPr>
      </w:pPr>
    </w:p>
    <w:p w:rsidR="000A4C00" w:rsidRPr="00C42175" w:rsidRDefault="000A4C00" w:rsidP="000A4C00">
      <w:pPr>
        <w:spacing w:line="360" w:lineRule="auto"/>
        <w:jc w:val="both"/>
        <w:rPr>
          <w:noProof w:val="0"/>
        </w:rPr>
      </w:pPr>
      <w:r w:rsidRPr="00C42175">
        <w:rPr>
          <w:noProof w:val="0"/>
          <w:rtl/>
        </w:rPr>
        <w:lastRenderedPageBreak/>
        <w:t>מחיקה על הסף</w:t>
      </w:r>
      <w:r w:rsidR="00C42175" w:rsidRPr="00C42175">
        <w:rPr>
          <w:rFonts w:hint="cs"/>
          <w:noProof w:val="0"/>
          <w:rtl/>
        </w:rPr>
        <w:t>, בהתאם לתקנה 14, קובעת</w:t>
      </w:r>
      <w:r w:rsidRPr="00C42175">
        <w:rPr>
          <w:noProof w:val="0"/>
          <w:rtl/>
        </w:rPr>
        <w:t>:</w:t>
      </w:r>
    </w:p>
    <w:p w:rsidR="000A4C00" w:rsidRDefault="000A4C00" w:rsidP="000A4C00">
      <w:pPr>
        <w:ind w:right="851"/>
        <w:jc w:val="both"/>
        <w:rPr>
          <w:b/>
          <w:bCs/>
          <w:noProof w:val="0"/>
          <w:rtl/>
        </w:rPr>
      </w:pPr>
      <w:r>
        <w:rPr>
          <w:b/>
          <w:bCs/>
          <w:noProof w:val="0"/>
          <w:rtl/>
        </w:rPr>
        <w:t>"(א) בית המשפט רשאי להורות על מחיקת כתב תביעה בכל עת על יסוד אחד מאלה:</w:t>
      </w:r>
    </w:p>
    <w:p w:rsidR="000A4C00" w:rsidRDefault="000A4C00" w:rsidP="000A4C00">
      <w:pPr>
        <w:ind w:right="851"/>
        <w:jc w:val="both"/>
        <w:rPr>
          <w:b/>
          <w:bCs/>
          <w:noProof w:val="0"/>
        </w:rPr>
      </w:pPr>
      <w:r>
        <w:rPr>
          <w:b/>
          <w:bCs/>
          <w:noProof w:val="0"/>
          <w:rtl/>
        </w:rPr>
        <w:t>(1) כתב התביעה אינו מעלה עילת תביעה;</w:t>
      </w:r>
    </w:p>
    <w:p w:rsidR="000A4C00" w:rsidRDefault="000A4C00" w:rsidP="000A4C00">
      <w:pPr>
        <w:ind w:right="851"/>
        <w:jc w:val="both"/>
        <w:rPr>
          <w:b/>
          <w:bCs/>
          <w:noProof w:val="0"/>
          <w:rtl/>
        </w:rPr>
      </w:pPr>
      <w:r>
        <w:rPr>
          <w:b/>
          <w:bCs/>
          <w:noProof w:val="0"/>
          <w:rtl/>
        </w:rPr>
        <w:t>(2) מכתב התביעה עולה כי התביעה היא טרדנית או קנטרנית;</w:t>
      </w:r>
    </w:p>
    <w:p w:rsidR="000A4C00" w:rsidRDefault="000A4C00" w:rsidP="000A4C00">
      <w:pPr>
        <w:ind w:right="851"/>
        <w:jc w:val="both"/>
        <w:rPr>
          <w:b/>
          <w:bCs/>
          <w:noProof w:val="0"/>
          <w:rtl/>
        </w:rPr>
      </w:pPr>
      <w:r>
        <w:rPr>
          <w:b/>
          <w:bCs/>
          <w:noProof w:val="0"/>
          <w:rtl/>
        </w:rPr>
        <w:t>(3) התובע מתמיד באופן שאינו מניח את הדעת, להימנע מלקיים הוראות מתקנות אלה או נמנע מלקיים החלטה או הוראה של בית המשפט.</w:t>
      </w:r>
    </w:p>
    <w:p w:rsidR="000A4C00" w:rsidRDefault="000A4C00" w:rsidP="000A4C00">
      <w:pPr>
        <w:ind w:right="851"/>
        <w:jc w:val="both"/>
        <w:rPr>
          <w:b/>
          <w:bCs/>
          <w:noProof w:val="0"/>
          <w:rtl/>
        </w:rPr>
      </w:pPr>
      <w:r>
        <w:rPr>
          <w:b/>
          <w:bCs/>
          <w:noProof w:val="0"/>
          <w:rtl/>
        </w:rPr>
        <w:t>(4) כל נימוק אחר שלפיו הוא סבור שראוי ונכון למחוק את התביעה.</w:t>
      </w:r>
    </w:p>
    <w:p w:rsidR="000A4C00" w:rsidRDefault="000A4C00" w:rsidP="000A4C00">
      <w:pPr>
        <w:spacing w:line="360" w:lineRule="auto"/>
        <w:ind w:left="720"/>
        <w:jc w:val="both"/>
        <w:rPr>
          <w:b/>
          <w:bCs/>
          <w:noProof w:val="0"/>
          <w:rtl/>
        </w:rPr>
      </w:pPr>
    </w:p>
    <w:p w:rsidR="000A4C00" w:rsidRPr="00C42175" w:rsidRDefault="000A4C00" w:rsidP="000A4C00">
      <w:pPr>
        <w:spacing w:line="360" w:lineRule="auto"/>
        <w:jc w:val="both"/>
        <w:rPr>
          <w:noProof w:val="0"/>
          <w:rtl/>
        </w:rPr>
      </w:pPr>
      <w:r w:rsidRPr="00C42175">
        <w:rPr>
          <w:noProof w:val="0"/>
          <w:rtl/>
        </w:rPr>
        <w:t>מחיקה מחמת שימוש לרעה בהליכי משפט</w:t>
      </w:r>
      <w:r w:rsidR="00C42175" w:rsidRPr="00C42175">
        <w:rPr>
          <w:rFonts w:hint="cs"/>
          <w:noProof w:val="0"/>
          <w:rtl/>
        </w:rPr>
        <w:t>, בהתאם לתקנה 42, הקובעת:</w:t>
      </w:r>
    </w:p>
    <w:p w:rsidR="000A4C00" w:rsidRDefault="000A4C00" w:rsidP="000A4C00">
      <w:pPr>
        <w:ind w:right="851"/>
        <w:jc w:val="both"/>
        <w:rPr>
          <w:b/>
          <w:bCs/>
          <w:noProof w:val="0"/>
          <w:rtl/>
        </w:rPr>
      </w:pPr>
      <w:r>
        <w:rPr>
          <w:b/>
          <w:bCs/>
          <w:noProof w:val="0"/>
          <w:rtl/>
        </w:rPr>
        <w:t>"סבר בית המשפט שבעל דין עשה שימוש לרעה בהליכי משפט רשאי הוא, מטעם זה בלבד, למחוק את כתב טענותיו כולו או מקצתו".</w:t>
      </w:r>
    </w:p>
    <w:p w:rsidR="000A4C00" w:rsidRDefault="000A4C00" w:rsidP="000A4C00">
      <w:pPr>
        <w:spacing w:line="360" w:lineRule="auto"/>
        <w:ind w:left="720"/>
        <w:jc w:val="both"/>
        <w:rPr>
          <w:b/>
          <w:bCs/>
          <w:noProof w:val="0"/>
          <w:rtl/>
        </w:rPr>
      </w:pPr>
    </w:p>
    <w:p w:rsidR="000A4C00" w:rsidRPr="00C42175" w:rsidRDefault="000A4C00" w:rsidP="000A4C00">
      <w:pPr>
        <w:spacing w:line="360" w:lineRule="auto"/>
        <w:jc w:val="both"/>
        <w:rPr>
          <w:noProof w:val="0"/>
          <w:rtl/>
        </w:rPr>
      </w:pPr>
      <w:r w:rsidRPr="00C42175">
        <w:rPr>
          <w:noProof w:val="0"/>
          <w:rtl/>
        </w:rPr>
        <w:t>דחיית תביעה במקרים מיוחדים</w:t>
      </w:r>
      <w:r w:rsidR="00C42175" w:rsidRPr="00C42175">
        <w:rPr>
          <w:rFonts w:hint="cs"/>
          <w:noProof w:val="0"/>
          <w:rtl/>
        </w:rPr>
        <w:t xml:space="preserve">, בהתאם </w:t>
      </w:r>
      <w:proofErr w:type="spellStart"/>
      <w:r w:rsidR="00C42175" w:rsidRPr="00C42175">
        <w:rPr>
          <w:rFonts w:hint="cs"/>
          <w:noProof w:val="0"/>
          <w:rtl/>
        </w:rPr>
        <w:t>לצקנה</w:t>
      </w:r>
      <w:proofErr w:type="spellEnd"/>
      <w:r w:rsidR="00C42175" w:rsidRPr="00C42175">
        <w:rPr>
          <w:rFonts w:hint="cs"/>
          <w:noProof w:val="0"/>
          <w:rtl/>
        </w:rPr>
        <w:t xml:space="preserve"> 43, הקובעת:</w:t>
      </w:r>
    </w:p>
    <w:p w:rsidR="000A4C00" w:rsidRDefault="000A4C00" w:rsidP="000A4C00">
      <w:pPr>
        <w:ind w:right="851"/>
        <w:jc w:val="both"/>
        <w:rPr>
          <w:b/>
          <w:bCs/>
          <w:noProof w:val="0"/>
          <w:rtl/>
        </w:rPr>
      </w:pPr>
      <w:r>
        <w:rPr>
          <w:b/>
          <w:bCs/>
          <w:noProof w:val="0"/>
          <w:rtl/>
        </w:rPr>
        <w:t>"בית המשפט רשאי לדחות תביעה בכל עת בשל קיומו של מעשה בית דין, התיישנות או מכל נימוק אחר, שלפיו הוא סבור כי ראוי ונכון לדחות את התביעה".</w:t>
      </w:r>
    </w:p>
    <w:p w:rsidR="000A4C00" w:rsidRDefault="000A4C00" w:rsidP="000A4C00">
      <w:pPr>
        <w:spacing w:after="160" w:line="360" w:lineRule="auto"/>
        <w:contextualSpacing/>
        <w:jc w:val="both"/>
        <w:rPr>
          <w:b/>
          <w:bCs/>
          <w:noProof w:val="0"/>
          <w:rtl/>
        </w:rPr>
      </w:pPr>
    </w:p>
    <w:p w:rsidR="00C42175" w:rsidRDefault="00C42175" w:rsidP="00C42175">
      <w:pPr>
        <w:spacing w:after="160" w:line="360" w:lineRule="auto"/>
        <w:contextualSpacing/>
        <w:jc w:val="both"/>
        <w:rPr>
          <w:noProof w:val="0"/>
          <w:rtl/>
        </w:rPr>
      </w:pPr>
      <w:r>
        <w:rPr>
          <w:rFonts w:hint="cs"/>
          <w:noProof w:val="0"/>
          <w:rtl/>
        </w:rPr>
        <w:t xml:space="preserve">עסקינן בסעד חריג, </w:t>
      </w:r>
      <w:r w:rsidR="000A4C00">
        <w:rPr>
          <w:noProof w:val="0"/>
          <w:rtl/>
        </w:rPr>
        <w:t xml:space="preserve">המצריך בחינת </w:t>
      </w:r>
      <w:r>
        <w:rPr>
          <w:noProof w:val="0"/>
          <w:rtl/>
        </w:rPr>
        <w:t>סיכויי התביעה, גם בהיותם קלושים</w:t>
      </w:r>
      <w:r>
        <w:rPr>
          <w:rFonts w:hint="cs"/>
          <w:noProof w:val="0"/>
          <w:rtl/>
        </w:rPr>
        <w:t xml:space="preserve">. </w:t>
      </w:r>
      <w:r w:rsidR="000A4C00">
        <w:rPr>
          <w:noProof w:val="0"/>
          <w:rtl/>
        </w:rPr>
        <w:t xml:space="preserve">תקנות סדר הדין האזרחי, הרחיבו הסמכות ושיקול הדעת שהוענק לבית המשפט, לסלק תביעה על הסף, </w:t>
      </w:r>
      <w:r>
        <w:rPr>
          <w:rFonts w:hint="cs"/>
          <w:noProof w:val="0"/>
          <w:rtl/>
        </w:rPr>
        <w:t xml:space="preserve">כאשר התקנות קבעו </w:t>
      </w:r>
      <w:r w:rsidR="000A4C00">
        <w:rPr>
          <w:noProof w:val="0"/>
          <w:rtl/>
        </w:rPr>
        <w:t>רשימה לא סגורה, של העילות בעטיין ניתן להורות על סילוק על הסף ונקבע</w:t>
      </w:r>
      <w:r>
        <w:rPr>
          <w:rFonts w:hint="cs"/>
          <w:noProof w:val="0"/>
          <w:rtl/>
        </w:rPr>
        <w:t>,</w:t>
      </w:r>
      <w:r w:rsidR="000A4C00">
        <w:rPr>
          <w:noProof w:val="0"/>
          <w:rtl/>
        </w:rPr>
        <w:t xml:space="preserve"> </w:t>
      </w:r>
      <w:r>
        <w:rPr>
          <w:rFonts w:hint="cs"/>
          <w:noProof w:val="0"/>
          <w:rtl/>
        </w:rPr>
        <w:t>בנוסף, ש</w:t>
      </w:r>
      <w:r w:rsidR="000A4C00">
        <w:rPr>
          <w:noProof w:val="0"/>
          <w:rtl/>
        </w:rPr>
        <w:t>ניתן לעשות כן בהתבסס על "כל נימוק אחר"</w:t>
      </w:r>
      <w:r>
        <w:rPr>
          <w:rFonts w:hint="cs"/>
          <w:noProof w:val="0"/>
          <w:rtl/>
        </w:rPr>
        <w:t>.</w:t>
      </w:r>
    </w:p>
    <w:p w:rsidR="000A4C00" w:rsidRDefault="000A4C00" w:rsidP="000A4C00">
      <w:pPr>
        <w:rPr>
          <w:rtl/>
        </w:rPr>
      </w:pPr>
    </w:p>
    <w:p w:rsidR="000A4C00" w:rsidRDefault="000A4C00" w:rsidP="000A4C00">
      <w:pPr>
        <w:jc w:val="both"/>
        <w:rPr>
          <w:rFonts w:ascii="David" w:hAnsi="David"/>
          <w:noProof w:val="0"/>
          <w:rtl/>
        </w:rPr>
      </w:pPr>
      <w:r>
        <w:rPr>
          <w:rFonts w:ascii="David" w:hAnsi="David"/>
          <w:b/>
          <w:bCs/>
          <w:rtl/>
        </w:rPr>
        <w:t>"הלכה פסוקה היא, כי בית המשפט ישתמש בסמכותו למחוק תביעה על הסף... רק במקרים בהם יהיה ברור, כי בשום פנים ואופן אין התובע יכול לקבל, על יסוד הטענות המבססות את תביעתו, את הסעד המבוקש. בית המשפט - בבואו לשקול אפשרות זו - ינהג בזהירות רבה וישתמש בסמכותו רק במקרים קיצוניים ויוצאי דופן"</w:t>
      </w:r>
      <w:r>
        <w:rPr>
          <w:rFonts w:ascii="David" w:hAnsi="David"/>
          <w:rtl/>
        </w:rPr>
        <w:t xml:space="preserve">  </w:t>
      </w:r>
      <w:hyperlink r:id="rId12" w:history="1">
        <w:r>
          <w:rPr>
            <w:rStyle w:val="Hyperlink"/>
            <w:rFonts w:ascii="David" w:hAnsi="David"/>
            <w:rtl/>
          </w:rPr>
          <w:t>רע"א 359/06</w:t>
        </w:r>
      </w:hyperlink>
      <w:r>
        <w:rPr>
          <w:rFonts w:ascii="David" w:hAnsi="David"/>
          <w:rtl/>
        </w:rPr>
        <w:t xml:space="preserve"> </w:t>
      </w:r>
      <w:r>
        <w:rPr>
          <w:rFonts w:ascii="David" w:hAnsi="David" w:hint="cs"/>
          <w:b/>
          <w:bCs/>
          <w:rtl/>
        </w:rPr>
        <w:t>עו"ד ד' חורי מועין נ' עו"ד סלמאן פרג'</w:t>
      </w:r>
      <w:r>
        <w:rPr>
          <w:rFonts w:ascii="David" w:hAnsi="David" w:hint="cs"/>
          <w:rtl/>
        </w:rPr>
        <w:t xml:space="preserve"> (לא פורסם); </w:t>
      </w:r>
      <w:hyperlink r:id="rId13" w:history="1">
        <w:r>
          <w:rPr>
            <w:rStyle w:val="Hyperlink"/>
            <w:rFonts w:ascii="David" w:hAnsi="David"/>
            <w:rtl/>
          </w:rPr>
          <w:t xml:space="preserve">רע"א 751/05 </w:t>
        </w:r>
      </w:hyperlink>
      <w:r>
        <w:rPr>
          <w:rFonts w:ascii="David" w:hAnsi="David"/>
          <w:rtl/>
        </w:rPr>
        <w:t xml:space="preserve"> </w:t>
      </w:r>
      <w:r>
        <w:rPr>
          <w:rFonts w:ascii="David" w:hAnsi="David" w:hint="cs"/>
          <w:b/>
          <w:bCs/>
          <w:rtl/>
        </w:rPr>
        <w:t>החברה הלאומית לאספקת פחם בע"מ נ' "צים" חברת השיט הישראלית בע"מ</w:t>
      </w:r>
      <w:r>
        <w:rPr>
          <w:rFonts w:ascii="David" w:hAnsi="David" w:hint="cs"/>
          <w:rtl/>
        </w:rPr>
        <w:t xml:space="preserve"> (לא פורסם)</w:t>
      </w:r>
      <w:r>
        <w:rPr>
          <w:rFonts w:ascii="David" w:hAnsi="David"/>
          <w:noProof w:val="0"/>
          <w:rtl/>
        </w:rPr>
        <w:t>.</w:t>
      </w:r>
    </w:p>
    <w:p w:rsidR="000A4C00" w:rsidRDefault="000A4C00" w:rsidP="000A4C00">
      <w:pPr>
        <w:pStyle w:val="ad"/>
        <w:spacing w:line="360" w:lineRule="auto"/>
        <w:jc w:val="both"/>
        <w:rPr>
          <w:rFonts w:ascii="David" w:hAnsi="David"/>
          <w:noProof w:val="0"/>
        </w:rPr>
      </w:pPr>
    </w:p>
    <w:p w:rsidR="000A4C00" w:rsidRDefault="000A4C00" w:rsidP="000A4C00">
      <w:r>
        <w:rPr>
          <w:rtl/>
        </w:rPr>
        <w:t>טיעוני הסף שבפני יבחנו לאור האמור.</w:t>
      </w:r>
    </w:p>
    <w:p w:rsidR="000A4C00" w:rsidRDefault="000A4C00" w:rsidP="000A4C00">
      <w:pPr>
        <w:rPr>
          <w:rtl/>
        </w:rPr>
      </w:pPr>
    </w:p>
    <w:p w:rsidR="000A4C00" w:rsidRDefault="000A4C00" w:rsidP="000A4C00">
      <w:pPr>
        <w:rPr>
          <w:rtl/>
        </w:rPr>
      </w:pPr>
    </w:p>
    <w:p w:rsidR="000A4C00" w:rsidRDefault="000A4C00" w:rsidP="000A4C00">
      <w:pPr>
        <w:rPr>
          <w:b/>
          <w:bCs/>
          <w:u w:val="single"/>
          <w:rtl/>
        </w:rPr>
      </w:pPr>
      <w:r>
        <w:rPr>
          <w:b/>
          <w:bCs/>
          <w:u w:val="single"/>
          <w:rtl/>
        </w:rPr>
        <w:t>16. התיישנות</w:t>
      </w:r>
    </w:p>
    <w:p w:rsidR="000A4C00" w:rsidRDefault="000A4C00" w:rsidP="000A4C00">
      <w:pPr>
        <w:pStyle w:val="10"/>
        <w:bidi/>
        <w:spacing w:before="0" w:beforeAutospacing="0" w:after="0" w:afterAutospacing="0" w:line="360" w:lineRule="auto"/>
        <w:ind w:left="84"/>
        <w:jc w:val="both"/>
        <w:rPr>
          <w:rFonts w:ascii="Narkisim" w:hAnsi="Narkisim" w:cs="Narkisim"/>
          <w:sz w:val="28"/>
          <w:szCs w:val="28"/>
          <w:rtl/>
        </w:rPr>
      </w:pPr>
    </w:p>
    <w:p w:rsidR="000A4C00" w:rsidRDefault="000A4C00" w:rsidP="000A4C00">
      <w:pPr>
        <w:spacing w:line="360" w:lineRule="auto"/>
        <w:jc w:val="both"/>
        <w:rPr>
          <w:rFonts w:ascii="David" w:hAnsi="David"/>
          <w:rtl/>
        </w:rPr>
      </w:pPr>
      <w:r>
        <w:rPr>
          <w:rFonts w:ascii="David" w:hAnsi="David"/>
          <w:b/>
          <w:bCs/>
          <w:rtl/>
        </w:rPr>
        <w:t>ס' 3 לחוק ההתיישנות, תשי"ח-1958</w:t>
      </w:r>
      <w:r>
        <w:rPr>
          <w:rFonts w:ascii="David" w:hAnsi="David"/>
          <w:rtl/>
        </w:rPr>
        <w:t xml:space="preserve"> (להלן: </w:t>
      </w:r>
      <w:r>
        <w:rPr>
          <w:rFonts w:ascii="David" w:hAnsi="David"/>
          <w:b/>
          <w:bCs/>
          <w:rtl/>
        </w:rPr>
        <w:t>"חוק ההתיישנות"</w:t>
      </w:r>
      <w:r>
        <w:rPr>
          <w:rFonts w:ascii="David" w:hAnsi="David"/>
          <w:rtl/>
        </w:rPr>
        <w:t>) קובע כי:</w:t>
      </w:r>
    </w:p>
    <w:p w:rsidR="000A4C00" w:rsidRDefault="000A4C00" w:rsidP="000A4C00">
      <w:pPr>
        <w:ind w:right="426"/>
        <w:contextualSpacing/>
        <w:jc w:val="both"/>
        <w:rPr>
          <w:rFonts w:ascii="David" w:hAnsi="David"/>
          <w:rtl/>
        </w:rPr>
      </w:pPr>
      <w:r>
        <w:rPr>
          <w:rFonts w:ascii="David" w:hAnsi="David"/>
          <w:b/>
          <w:bCs/>
          <w:rtl/>
        </w:rPr>
        <w:t>"אין נזקקים לטענת התיישנות אם לא טען הנתבע טענה זו בהזדמנות הראשונה לאחר הגשת התובענה"</w:t>
      </w:r>
    </w:p>
    <w:p w:rsidR="000A4C00" w:rsidRDefault="000A4C00" w:rsidP="000A4C00">
      <w:pPr>
        <w:spacing w:before="240" w:after="240" w:line="360" w:lineRule="auto"/>
        <w:jc w:val="both"/>
        <w:rPr>
          <w:rFonts w:ascii="David" w:hAnsi="David"/>
          <w:rtl/>
        </w:rPr>
      </w:pPr>
      <w:r>
        <w:rPr>
          <w:rFonts w:ascii="David" w:hAnsi="David"/>
          <w:rtl/>
        </w:rPr>
        <w:t xml:space="preserve">כאמור כבר בכתב ההגנה שהוגש על ידי </w:t>
      </w:r>
      <w:r w:rsidR="00256F0D">
        <w:rPr>
          <w:rFonts w:ascii="David" w:hAnsi="David"/>
          <w:rtl/>
        </w:rPr>
        <w:t>א'</w:t>
      </w:r>
      <w:r>
        <w:rPr>
          <w:rFonts w:ascii="David" w:hAnsi="David"/>
          <w:rtl/>
        </w:rPr>
        <w:t xml:space="preserve">, טען להתיישנות התובענה. ועל כך חזר בא כוחו בדיון הראשון והשני. </w:t>
      </w:r>
    </w:p>
    <w:p w:rsidR="000A4C00" w:rsidRDefault="000A4C00" w:rsidP="000A4C00">
      <w:pPr>
        <w:spacing w:before="240" w:after="240" w:line="360" w:lineRule="auto"/>
        <w:jc w:val="both"/>
        <w:rPr>
          <w:rFonts w:ascii="David" w:hAnsi="David"/>
          <w:rtl/>
        </w:rPr>
      </w:pPr>
      <w:r>
        <w:rPr>
          <w:rFonts w:ascii="David" w:hAnsi="David"/>
          <w:rtl/>
        </w:rPr>
        <w:t>סעיף 5 לחוק ההתיישנות מבחין בין שני סוגי תביעות לעניין תקופת ההתיישנות, וכלשון החוק:</w:t>
      </w:r>
    </w:p>
    <w:p w:rsidR="000A4C00" w:rsidRDefault="000A4C00" w:rsidP="000A4C00">
      <w:pPr>
        <w:spacing w:before="240" w:after="240"/>
        <w:contextualSpacing/>
        <w:jc w:val="both"/>
        <w:rPr>
          <w:rFonts w:ascii="David" w:hAnsi="David"/>
          <w:b/>
          <w:bCs/>
          <w:rtl/>
        </w:rPr>
      </w:pPr>
      <w:r>
        <w:rPr>
          <w:rFonts w:ascii="David" w:hAnsi="David"/>
          <w:b/>
          <w:bCs/>
          <w:rtl/>
        </w:rPr>
        <w:lastRenderedPageBreak/>
        <w:t>"התקופה שבה מתיישנת תביעה שלא הוגשה עליה תובענה (להלן – תקופת ההתיישנות) היא –</w:t>
      </w:r>
    </w:p>
    <w:p w:rsidR="000A4C00" w:rsidRDefault="000A4C00" w:rsidP="000A4C00">
      <w:pPr>
        <w:spacing w:before="240" w:after="240"/>
        <w:contextualSpacing/>
        <w:jc w:val="both"/>
        <w:rPr>
          <w:rFonts w:ascii="David" w:hAnsi="David"/>
          <w:b/>
          <w:bCs/>
        </w:rPr>
      </w:pPr>
      <w:r>
        <w:rPr>
          <w:rFonts w:ascii="David" w:hAnsi="David"/>
          <w:b/>
          <w:bCs/>
          <w:rtl/>
        </w:rPr>
        <w:t>(1)</w:t>
      </w:r>
      <w:r>
        <w:rPr>
          <w:rFonts w:ascii="David" w:hAnsi="David"/>
          <w:b/>
          <w:bCs/>
          <w:rtl/>
        </w:rPr>
        <w:tab/>
        <w:t>בשאינו מקרקעין – שבע שנים;</w:t>
      </w:r>
    </w:p>
    <w:p w:rsidR="000A4C00" w:rsidRDefault="000A4C00" w:rsidP="000A4C00">
      <w:pPr>
        <w:spacing w:before="240" w:after="240"/>
        <w:contextualSpacing/>
        <w:jc w:val="both"/>
        <w:rPr>
          <w:rFonts w:ascii="David" w:hAnsi="David"/>
          <w:b/>
          <w:bCs/>
          <w:rtl/>
        </w:rPr>
      </w:pPr>
      <w:r>
        <w:rPr>
          <w:rFonts w:ascii="David" w:hAnsi="David"/>
          <w:b/>
          <w:bCs/>
          <w:rtl/>
        </w:rPr>
        <w:t>(2)</w:t>
      </w:r>
      <w:r>
        <w:rPr>
          <w:rFonts w:ascii="David" w:hAnsi="David"/>
          <w:b/>
          <w:bCs/>
          <w:rtl/>
        </w:rPr>
        <w:tab/>
        <w:t>במקרקעין – חמש-עשרה שנה; ואם נרשמו בספרי האחוזה לאחר סידור זכות קנין לפי פקודת הקרקעות (סידור זכות הקנין) – עשרים וחמש שנה".</w:t>
      </w:r>
    </w:p>
    <w:p w:rsidR="000A4C00" w:rsidRDefault="000A4C00" w:rsidP="000A4C00">
      <w:pPr>
        <w:spacing w:before="240" w:after="240"/>
        <w:contextualSpacing/>
        <w:jc w:val="both"/>
        <w:rPr>
          <w:rFonts w:ascii="David" w:hAnsi="David"/>
          <w:b/>
          <w:bCs/>
          <w:rtl/>
        </w:rPr>
      </w:pPr>
    </w:p>
    <w:p w:rsidR="000A4C00" w:rsidRDefault="000A4C00" w:rsidP="000A4C00">
      <w:pPr>
        <w:spacing w:before="240" w:after="240"/>
        <w:contextualSpacing/>
        <w:jc w:val="both"/>
        <w:rPr>
          <w:rFonts w:ascii="David" w:hAnsi="David"/>
          <w:b/>
          <w:bCs/>
          <w:rtl/>
        </w:rPr>
      </w:pPr>
      <w:r>
        <w:rPr>
          <w:rFonts w:ascii="David" w:hAnsi="David"/>
          <w:rtl/>
        </w:rPr>
        <w:t>סעיף 1 ל חוק ההתיישנות מגדיר "מקרקעין" בזו הלשון:</w:t>
      </w:r>
    </w:p>
    <w:p w:rsidR="000A4C00" w:rsidRDefault="000A4C00" w:rsidP="000A4C00">
      <w:pPr>
        <w:spacing w:before="240" w:after="240"/>
        <w:contextualSpacing/>
        <w:jc w:val="both"/>
        <w:rPr>
          <w:rFonts w:ascii="David" w:hAnsi="David"/>
          <w:b/>
          <w:bCs/>
          <w:rtl/>
        </w:rPr>
      </w:pPr>
    </w:p>
    <w:p w:rsidR="000A4C00" w:rsidRDefault="000A4C00" w:rsidP="000A4C00">
      <w:pPr>
        <w:spacing w:before="240" w:after="240"/>
        <w:contextualSpacing/>
        <w:jc w:val="both"/>
        <w:rPr>
          <w:rFonts w:ascii="David" w:hAnsi="David"/>
          <w:b/>
          <w:bCs/>
          <w:rtl/>
        </w:rPr>
      </w:pPr>
      <w:r>
        <w:rPr>
          <w:rFonts w:ascii="David" w:hAnsi="David"/>
          <w:b/>
          <w:bCs/>
          <w:rtl/>
        </w:rPr>
        <w:t xml:space="preserve">"1. הגדרות </w:t>
      </w:r>
    </w:p>
    <w:p w:rsidR="000A4C00" w:rsidRDefault="000A4C00" w:rsidP="000A4C00">
      <w:pPr>
        <w:spacing w:before="240" w:after="240"/>
        <w:jc w:val="both"/>
        <w:rPr>
          <w:rFonts w:ascii="David" w:hAnsi="David"/>
          <w:b/>
          <w:bCs/>
          <w:rtl/>
        </w:rPr>
      </w:pPr>
      <w:r>
        <w:rPr>
          <w:rFonts w:ascii="David" w:hAnsi="David"/>
          <w:b/>
          <w:bCs/>
          <w:rtl/>
        </w:rPr>
        <w:t>"מקרקעין" - קרקע מכל סוג וכל זכות או טובת הנאה בקרקע וכל דבר המחובר לקרקע חיבור קבע וכל זכות או טובת הנאה הטעונים רישום בספרי האחוזה".</w:t>
      </w:r>
    </w:p>
    <w:p w:rsidR="000A4C00" w:rsidRDefault="000A4C00" w:rsidP="000A4C00">
      <w:pPr>
        <w:spacing w:line="360" w:lineRule="auto"/>
        <w:jc w:val="both"/>
        <w:rPr>
          <w:rFonts w:ascii="David" w:hAnsi="David"/>
          <w:rtl/>
        </w:rPr>
      </w:pPr>
      <w:r>
        <w:rPr>
          <w:rFonts w:ascii="David" w:hAnsi="David"/>
          <w:rtl/>
        </w:rPr>
        <w:t>17. עניין לנו, בזכויות במקרקעין, מסוג בר רשות, אשר מעוגנות בהסכם משבצת, והן זכויות אובליגטוריות נוכח רישום המקרקעין ברמ"י ולא בלשכת רישום המקרקעין.</w:t>
      </w:r>
    </w:p>
    <w:p w:rsidR="000A4C00" w:rsidRDefault="000A4C00" w:rsidP="000A4C00">
      <w:pPr>
        <w:rPr>
          <w:rFonts w:ascii="David" w:hAnsi="David"/>
          <w:rtl/>
        </w:rPr>
      </w:pPr>
    </w:p>
    <w:p w:rsidR="000A4C00" w:rsidRDefault="000A4C00" w:rsidP="000A4C00">
      <w:pPr>
        <w:pStyle w:val="p22"/>
        <w:bidi/>
        <w:spacing w:before="60" w:beforeAutospacing="0" w:after="0" w:afterAutospacing="0" w:line="300" w:lineRule="atLeast"/>
        <w:jc w:val="both"/>
        <w:rPr>
          <w:rFonts w:ascii="David" w:hAnsi="David" w:cs="David"/>
          <w:b/>
          <w:bCs/>
          <w:color w:val="000000"/>
          <w:rtl/>
        </w:rPr>
      </w:pPr>
      <w:r>
        <w:rPr>
          <w:rStyle w:val="default"/>
          <w:rFonts w:ascii="David" w:hAnsi="David" w:cs="David"/>
          <w:color w:val="000000"/>
          <w:rtl/>
        </w:rPr>
        <w:t>יפים לכך הדברים שנפסקו </w:t>
      </w:r>
      <w:r>
        <w:rPr>
          <w:rFonts w:ascii="David" w:hAnsi="David" w:cs="David"/>
          <w:color w:val="000000"/>
          <w:rtl/>
        </w:rPr>
        <w:t>ב</w:t>
      </w:r>
      <w:hyperlink r:id="rId14" w:history="1">
        <w:r>
          <w:rPr>
            <w:rStyle w:val="Hyperlink"/>
            <w:rFonts w:ascii="David" w:hAnsi="David" w:cs="David"/>
            <w:rtl/>
          </w:rPr>
          <w:t>ע"א 1662/99 חיים נ' חיים ואח', פ"ד נו</w:t>
        </w:r>
      </w:hyperlink>
      <w:r>
        <w:rPr>
          <w:rFonts w:ascii="David" w:hAnsi="David" w:cs="David"/>
          <w:color w:val="000000"/>
          <w:rtl/>
        </w:rPr>
        <w:t xml:space="preserve">(6) 295, 314,  שם התייחסה כב' השופטת (בדימוס) </w:t>
      </w:r>
      <w:proofErr w:type="spellStart"/>
      <w:r>
        <w:rPr>
          <w:rFonts w:ascii="David" w:hAnsi="David" w:cs="David"/>
          <w:color w:val="000000"/>
          <w:rtl/>
        </w:rPr>
        <w:t>פרוקצ'יה</w:t>
      </w:r>
      <w:proofErr w:type="spellEnd"/>
      <w:r>
        <w:rPr>
          <w:rFonts w:ascii="David" w:hAnsi="David" w:cs="David"/>
          <w:color w:val="000000"/>
          <w:rtl/>
        </w:rPr>
        <w:t>, בין היתר למהות זכותו של בר-רשות:</w:t>
      </w:r>
    </w:p>
    <w:p w:rsidR="000A4C00" w:rsidRDefault="000A4C00" w:rsidP="000A4C00">
      <w:pPr>
        <w:pStyle w:val="p22"/>
        <w:bidi/>
        <w:spacing w:before="60" w:beforeAutospacing="0" w:after="0" w:afterAutospacing="0"/>
        <w:jc w:val="both"/>
        <w:rPr>
          <w:rFonts w:ascii="David" w:hAnsi="David" w:cs="David"/>
          <w:b/>
          <w:bCs/>
          <w:color w:val="000000"/>
          <w:rtl/>
        </w:rPr>
      </w:pPr>
      <w:r>
        <w:rPr>
          <w:rFonts w:ascii="David" w:hAnsi="David" w:cs="David"/>
          <w:b/>
          <w:bCs/>
          <w:color w:val="000000"/>
          <w:rtl/>
        </w:rPr>
        <w:t xml:space="preserve">"ההלכה הפסוקה הגדירה זכות זו כזכות אישית שאינה קניינית, אשר אופייה וגדריה נקבעים בהתאם להסכמת הצדדים בהסכם הרישיון. הסכם </w:t>
      </w:r>
      <w:proofErr w:type="spellStart"/>
      <w:r>
        <w:rPr>
          <w:rFonts w:ascii="David" w:hAnsi="David" w:cs="David"/>
          <w:b/>
          <w:bCs/>
          <w:color w:val="000000"/>
          <w:rtl/>
        </w:rPr>
        <w:t>הרשיון</w:t>
      </w:r>
      <w:proofErr w:type="spellEnd"/>
      <w:r>
        <w:rPr>
          <w:rFonts w:ascii="David" w:hAnsi="David" w:cs="David"/>
          <w:b/>
          <w:bCs/>
          <w:color w:val="000000"/>
          <w:rtl/>
        </w:rPr>
        <w:t xml:space="preserve"> לצורך ענייננו הוא "ההסכם המשולש" המגדיר, בין היתר, את תנאי </w:t>
      </w:r>
      <w:proofErr w:type="spellStart"/>
      <w:r>
        <w:rPr>
          <w:rFonts w:ascii="David" w:hAnsi="David" w:cs="David"/>
          <w:b/>
          <w:bCs/>
          <w:color w:val="000000"/>
          <w:rtl/>
        </w:rPr>
        <w:t>הרשיון</w:t>
      </w:r>
      <w:proofErr w:type="spellEnd"/>
      <w:r>
        <w:rPr>
          <w:rFonts w:ascii="David" w:hAnsi="David" w:cs="David"/>
          <w:b/>
          <w:bCs/>
          <w:color w:val="000000"/>
          <w:rtl/>
        </w:rPr>
        <w:t xml:space="preserve"> המחייבים את חבר האגודה."</w:t>
      </w:r>
    </w:p>
    <w:p w:rsidR="000A4C00" w:rsidRDefault="000A4C00" w:rsidP="000A4C00">
      <w:pPr>
        <w:pStyle w:val="p22"/>
        <w:bidi/>
        <w:spacing w:before="60" w:beforeAutospacing="0" w:after="0" w:afterAutospacing="0" w:line="300" w:lineRule="atLeast"/>
        <w:jc w:val="both"/>
        <w:rPr>
          <w:rFonts w:ascii="David" w:hAnsi="David" w:cs="David"/>
          <w:b/>
          <w:bCs/>
          <w:color w:val="000000"/>
          <w:rtl/>
        </w:rPr>
      </w:pPr>
    </w:p>
    <w:p w:rsidR="000A4C00" w:rsidRDefault="000A4C00" w:rsidP="000A4C00">
      <w:pPr>
        <w:pStyle w:val="p22"/>
        <w:bidi/>
        <w:spacing w:before="60" w:beforeAutospacing="0" w:after="0" w:afterAutospacing="0" w:line="300" w:lineRule="atLeast"/>
        <w:jc w:val="both"/>
        <w:rPr>
          <w:rFonts w:ascii="David" w:hAnsi="David" w:cs="David"/>
          <w:color w:val="000000"/>
          <w:rtl/>
        </w:rPr>
      </w:pPr>
      <w:r>
        <w:rPr>
          <w:rFonts w:ascii="David" w:hAnsi="David" w:cs="David"/>
          <w:color w:val="000000"/>
          <w:rtl/>
        </w:rPr>
        <w:t>עוד נפסק ב-</w:t>
      </w:r>
      <w:hyperlink r:id="rId15" w:history="1">
        <w:r>
          <w:rPr>
            <w:rStyle w:val="Hyperlink"/>
            <w:rFonts w:ascii="David" w:hAnsi="David" w:cs="David"/>
            <w:rtl/>
          </w:rPr>
          <w:t xml:space="preserve">רע"א 5071/03 </w:t>
        </w:r>
        <w:proofErr w:type="spellStart"/>
        <w:r>
          <w:rPr>
            <w:rStyle w:val="Hyperlink"/>
            <w:rFonts w:ascii="David" w:hAnsi="David" w:cs="David"/>
            <w:rtl/>
          </w:rPr>
          <w:t>הוך</w:t>
        </w:r>
        <w:proofErr w:type="spellEnd"/>
        <w:r>
          <w:rPr>
            <w:rStyle w:val="Hyperlink"/>
            <w:rFonts w:ascii="David" w:hAnsi="David" w:cs="David"/>
            <w:rtl/>
          </w:rPr>
          <w:t xml:space="preserve"> נ' גבע פ"ד נח</w:t>
        </w:r>
      </w:hyperlink>
      <w:r>
        <w:rPr>
          <w:rFonts w:ascii="David" w:hAnsi="David" w:cs="David"/>
          <w:color w:val="000000"/>
          <w:rtl/>
        </w:rPr>
        <w:t> (2) 49 (16/11/03):</w:t>
      </w:r>
    </w:p>
    <w:p w:rsidR="000A4C00" w:rsidRDefault="000A4C00" w:rsidP="000A4C00">
      <w:pPr>
        <w:pStyle w:val="p22"/>
        <w:bidi/>
        <w:spacing w:before="60" w:beforeAutospacing="0" w:after="0" w:afterAutospacing="0" w:line="300" w:lineRule="atLeast"/>
        <w:jc w:val="both"/>
        <w:rPr>
          <w:rFonts w:ascii="David" w:hAnsi="David" w:cs="David"/>
          <w:color w:val="000000"/>
          <w:sz w:val="20"/>
          <w:szCs w:val="20"/>
          <w:rtl/>
        </w:rPr>
      </w:pPr>
      <w:r>
        <w:rPr>
          <w:rFonts w:ascii="David" w:hAnsi="David" w:cs="David"/>
          <w:b/>
          <w:bCs/>
          <w:color w:val="000000"/>
          <w:rtl/>
        </w:rPr>
        <w:t>"זכות הרישיון במקרקעין היא זכות אשר אינה מנויה ב</w:t>
      </w:r>
      <w:hyperlink r:id="rId16" w:history="1">
        <w:r>
          <w:rPr>
            <w:rStyle w:val="Hyperlink"/>
            <w:rFonts w:ascii="David" w:hAnsi="David" w:cs="David"/>
            <w:b/>
            <w:bCs/>
            <w:rtl/>
          </w:rPr>
          <w:t>חוק המקרקעין</w:t>
        </w:r>
      </w:hyperlink>
      <w:r>
        <w:rPr>
          <w:rFonts w:ascii="David" w:hAnsi="David" w:cs="David"/>
          <w:b/>
          <w:bCs/>
          <w:color w:val="000000"/>
          <w:rtl/>
        </w:rPr>
        <w:t xml:space="preserve">, תשכ"ט-1969... מקורה של זכות זו, אשר נוצרה ככלי לעקיפת </w:t>
      </w:r>
      <w:proofErr w:type="spellStart"/>
      <w:r>
        <w:rPr>
          <w:rFonts w:ascii="David" w:hAnsi="David" w:cs="David"/>
          <w:b/>
          <w:bCs/>
          <w:color w:val="000000"/>
          <w:rtl/>
        </w:rPr>
        <w:t>ההגנות</w:t>
      </w:r>
      <w:proofErr w:type="spellEnd"/>
      <w:r>
        <w:rPr>
          <w:rFonts w:ascii="David" w:hAnsi="David" w:cs="David"/>
          <w:b/>
          <w:bCs/>
          <w:color w:val="000000"/>
          <w:rtl/>
        </w:rPr>
        <w:t xml:space="preserve"> שהוקנו לשוכר מכוח חוקי הגנת הדייר, במשפט המקובל, והיא נקלטה במשפט הארץ. תוכן הזכות הוא רשות שניתנת על-ידי בעל זכות במקרקעין לאחר להשתמש במקרקעין, ולעתים אף להחזיק בהם. הרישיון הינו זכות מובחנת מהזכויות אשר מאפייניהן מכוח חוק הם שימוש והחזקה או שימוש לבדו, לאמור השכירות, השאילה וזיקת ההנאה. בניגוד לאחרונות, שהינן זכויות קניין אשר תוכנן הוא החזקה ושימוש במקרקעין או שימוש במקרקעין בלבד, הרישיון היא זכות חוזית, זכות גברא (</w:t>
      </w:r>
      <w:r>
        <w:rPr>
          <w:rFonts w:ascii="David" w:hAnsi="David" w:cs="David"/>
          <w:b/>
          <w:bCs/>
          <w:i/>
          <w:iCs/>
          <w:color w:val="000000"/>
        </w:rPr>
        <w:t xml:space="preserve">in </w:t>
      </w:r>
      <w:proofErr w:type="spellStart"/>
      <w:r>
        <w:rPr>
          <w:rFonts w:ascii="David" w:hAnsi="David" w:cs="David"/>
          <w:b/>
          <w:bCs/>
          <w:i/>
          <w:iCs/>
          <w:color w:val="000000"/>
        </w:rPr>
        <w:t>personam</w:t>
      </w:r>
      <w:proofErr w:type="spellEnd"/>
      <w:r>
        <w:rPr>
          <w:rFonts w:ascii="David" w:hAnsi="David" w:cs="David"/>
          <w:b/>
          <w:bCs/>
          <w:color w:val="000000"/>
          <w:rtl/>
        </w:rPr>
        <w:t>), ולא זכות קניינית, אשר תוכנה הוא החזקה ושימוש במקרקעין או שימוש בהם בלבד (י' ויסמן </w:t>
      </w:r>
      <w:hyperlink r:id="rId17" w:history="1">
        <w:r>
          <w:rPr>
            <w:rStyle w:val="Hyperlink"/>
            <w:rFonts w:ascii="David" w:hAnsi="David" w:cs="David"/>
            <w:b/>
            <w:bCs/>
            <w:rtl/>
          </w:rPr>
          <w:t>חוק המקרקעין</w:t>
        </w:r>
      </w:hyperlink>
      <w:r>
        <w:rPr>
          <w:rFonts w:ascii="David" w:hAnsi="David" w:cs="David"/>
          <w:b/>
          <w:bCs/>
          <w:color w:val="000000"/>
          <w:rtl/>
        </w:rPr>
        <w:t xml:space="preserve">, תשכ"ט-1969 – מגמות והישגים [6], בעמ' 61-59, וראו גם נ' </w:t>
      </w:r>
      <w:proofErr w:type="spellStart"/>
      <w:r>
        <w:rPr>
          <w:rFonts w:ascii="David" w:hAnsi="David" w:cs="David"/>
          <w:b/>
          <w:bCs/>
          <w:color w:val="000000"/>
          <w:rtl/>
        </w:rPr>
        <w:t>זלצמן</w:t>
      </w:r>
      <w:proofErr w:type="spellEnd"/>
      <w:r>
        <w:rPr>
          <w:rFonts w:ascii="David" w:hAnsi="David" w:cs="David"/>
          <w:b/>
          <w:bCs/>
          <w:color w:val="000000"/>
          <w:rtl/>
        </w:rPr>
        <w:t xml:space="preserve"> "רישיון במקרקעין" [7])".</w:t>
      </w:r>
    </w:p>
    <w:p w:rsidR="000A4C00" w:rsidRDefault="000A4C00" w:rsidP="000A4C00">
      <w:pPr>
        <w:rPr>
          <w:rtl/>
        </w:rPr>
      </w:pPr>
    </w:p>
    <w:p w:rsidR="000A4C00" w:rsidRDefault="000A4C00" w:rsidP="000A4C00">
      <w:pPr>
        <w:spacing w:before="240" w:after="240" w:line="360" w:lineRule="auto"/>
        <w:jc w:val="both"/>
        <w:rPr>
          <w:rFonts w:ascii="David" w:hAnsi="David"/>
          <w:rtl/>
        </w:rPr>
      </w:pPr>
      <w:r>
        <w:rPr>
          <w:rFonts w:ascii="David" w:hAnsi="David"/>
          <w:rtl/>
        </w:rPr>
        <w:t xml:space="preserve">כבר נפסק, כי לצורכי טענת ההתיישנות הגדרת "מקרקעין" בחוק ההתיישנות הינה המחייבת ולא זו שבחוק המקרקעין, תשכ"ט-1969 (להלן: "חוק המקרקעין") (ראה ת"א תל-אביב) 41/92 </w:t>
      </w:r>
      <w:r>
        <w:rPr>
          <w:rFonts w:ascii="David" w:hAnsi="David"/>
          <w:b/>
          <w:bCs/>
          <w:rtl/>
        </w:rPr>
        <w:t>יהודית רצבי נ' משה מדהלה</w:t>
      </w:r>
      <w:r>
        <w:rPr>
          <w:rFonts w:ascii="David" w:hAnsi="David"/>
          <w:rtl/>
        </w:rPr>
        <w:t xml:space="preserve"> תק-מח 93(1), 835 ו ה"פ (חי) 30080/97 </w:t>
      </w:r>
      <w:r>
        <w:rPr>
          <w:rFonts w:ascii="David" w:hAnsi="David"/>
          <w:b/>
          <w:bCs/>
          <w:rtl/>
        </w:rPr>
        <w:t>בנק</w:t>
      </w:r>
      <w:r>
        <w:rPr>
          <w:rFonts w:ascii="David" w:hAnsi="David"/>
          <w:rtl/>
        </w:rPr>
        <w:t xml:space="preserve"> </w:t>
      </w:r>
      <w:r>
        <w:rPr>
          <w:rFonts w:ascii="David" w:hAnsi="David"/>
          <w:b/>
          <w:bCs/>
          <w:rtl/>
        </w:rPr>
        <w:t>לאומי לישראל נ' אמנון וסוניה</w:t>
      </w:r>
      <w:r>
        <w:rPr>
          <w:rFonts w:ascii="David" w:hAnsi="David"/>
          <w:rtl/>
        </w:rPr>
        <w:t>, תק-מח 98(1), 237).</w:t>
      </w:r>
    </w:p>
    <w:p w:rsidR="000A4C00" w:rsidRDefault="000A4C00" w:rsidP="000A4C00">
      <w:pPr>
        <w:spacing w:before="240" w:after="240" w:line="360" w:lineRule="auto"/>
        <w:jc w:val="both"/>
        <w:rPr>
          <w:rFonts w:ascii="David" w:hAnsi="David"/>
        </w:rPr>
      </w:pPr>
      <w:r>
        <w:rPr>
          <w:rFonts w:ascii="David" w:hAnsi="David"/>
          <w:rtl/>
        </w:rPr>
        <w:t>על מנת לבחון האמור, יש לקבוע סיווגה של התובענה. "בשאינו מקרקעין", זו המתיישנת בחלוף 7 שנים מיום שנולדה עילתה (סעיף 5(ו) לחוק ההתיישנות), ואילו "במקרקעין מוסדרים או לא מוסדרים", זו המתיישנת בחלוף 25 או 15 שנים בהתאמה, מיום שנולדה עילת התביעה.</w:t>
      </w:r>
    </w:p>
    <w:p w:rsidR="000A4C00" w:rsidRDefault="000A4C00" w:rsidP="000A4C00">
      <w:pPr>
        <w:spacing w:before="240" w:after="240" w:line="360" w:lineRule="auto"/>
        <w:jc w:val="both"/>
        <w:rPr>
          <w:rFonts w:cs="Times New Roman"/>
          <w:noProof w:val="0"/>
          <w:color w:val="000000"/>
          <w:sz w:val="20"/>
          <w:szCs w:val="20"/>
        </w:rPr>
      </w:pPr>
      <w:r>
        <w:rPr>
          <w:rFonts w:ascii="David" w:hAnsi="David"/>
          <w:rtl/>
        </w:rPr>
        <w:lastRenderedPageBreak/>
        <w:t>בחינה זו יש לעשות בהתאם לתוכן התביעה. ב</w:t>
      </w:r>
      <w:r>
        <w:rPr>
          <w:rFonts w:ascii="David" w:hAnsi="David"/>
          <w:color w:val="000000"/>
          <w:rtl/>
        </w:rPr>
        <w:t>פסק דינו של בית המשפט העליון ב</w:t>
      </w:r>
      <w:hyperlink r:id="rId18" w:history="1">
        <w:r>
          <w:rPr>
            <w:rStyle w:val="Hyperlink"/>
            <w:rFonts w:ascii="David" w:hAnsi="David"/>
            <w:rtl/>
          </w:rPr>
          <w:t>ע"א 3260/11</w:t>
        </w:r>
      </w:hyperlink>
      <w:r>
        <w:rPr>
          <w:rFonts w:ascii="David" w:hAnsi="David"/>
          <w:color w:val="000000"/>
          <w:rtl/>
        </w:rPr>
        <w:t> </w:t>
      </w:r>
      <w:r>
        <w:rPr>
          <w:rFonts w:ascii="David" w:hAnsi="David"/>
          <w:b/>
          <w:bCs/>
          <w:color w:val="000000"/>
          <w:rtl/>
        </w:rPr>
        <w:t>רחל ברכה, משרד עורכי דין נגד אפריקה ישראל להשקעות בע"מ, אפריקה ישראל נכסים בע"מ,</w:t>
      </w:r>
      <w:r>
        <w:rPr>
          <w:rFonts w:ascii="David" w:hAnsi="David"/>
          <w:color w:val="000000"/>
          <w:rtl/>
        </w:rPr>
        <w:t> [פורסם בנבו] (06/01/2015) נקבע עקרונית כיצד יש להכריע בשאלת סיווגה של תביעה בהקשר של </w:t>
      </w:r>
      <w:hyperlink r:id="rId19" w:history="1">
        <w:r>
          <w:rPr>
            <w:rStyle w:val="Hyperlink"/>
            <w:rFonts w:ascii="David" w:hAnsi="David"/>
            <w:rtl/>
          </w:rPr>
          <w:t>סעיף 5</w:t>
        </w:r>
      </w:hyperlink>
      <w:r>
        <w:rPr>
          <w:rFonts w:ascii="David" w:hAnsi="David"/>
          <w:color w:val="000000"/>
          <w:rtl/>
        </w:rPr>
        <w:t> ל</w:t>
      </w:r>
      <w:hyperlink r:id="rId20" w:history="1">
        <w:r>
          <w:rPr>
            <w:rStyle w:val="Hyperlink"/>
            <w:rFonts w:ascii="David" w:hAnsi="David"/>
            <w:rtl/>
          </w:rPr>
          <w:t>חוק ההתיישנות</w:t>
        </w:r>
      </w:hyperlink>
      <w:r>
        <w:rPr>
          <w:rFonts w:ascii="David" w:hAnsi="David"/>
          <w:color w:val="000000"/>
          <w:rtl/>
        </w:rPr>
        <w:t>, תוך שהפסק מתייחס למבחן מהות העילה ואפיונו של הסעד הנדרש:</w:t>
      </w:r>
    </w:p>
    <w:p w:rsidR="000A4C00" w:rsidRDefault="000A4C00" w:rsidP="000A4C00">
      <w:pPr>
        <w:spacing w:before="240" w:after="240"/>
        <w:jc w:val="both"/>
        <w:rPr>
          <w:color w:val="000000"/>
          <w:sz w:val="20"/>
          <w:szCs w:val="20"/>
          <w:rtl/>
        </w:rPr>
      </w:pPr>
      <w:r>
        <w:rPr>
          <w:rFonts w:cs="Times New Roman" w:hint="cs"/>
          <w:noProof w:val="0"/>
          <w:color w:val="000000"/>
          <w:sz w:val="20"/>
          <w:szCs w:val="20"/>
          <w:rtl/>
        </w:rPr>
        <w:t xml:space="preserve"> </w:t>
      </w:r>
      <w:r>
        <w:rPr>
          <w:rFonts w:ascii="David" w:hAnsi="David"/>
          <w:b/>
          <w:bCs/>
          <w:color w:val="000000"/>
          <w:rtl/>
        </w:rPr>
        <w:t>"ההכרעה בשאלת סיווגה של תביעה: "במקרקעין", או "בשאינו מקרקעין", לעניין סעיף 5 ל</w:t>
      </w:r>
      <w:hyperlink r:id="rId21" w:history="1">
        <w:r>
          <w:rPr>
            <w:rStyle w:val="Hyperlink"/>
            <w:rFonts w:ascii="David" w:hAnsi="David"/>
            <w:b/>
            <w:bCs/>
            <w:rtl/>
          </w:rPr>
          <w:t>חוק ההתיישנות</w:t>
        </w:r>
      </w:hyperlink>
      <w:r>
        <w:rPr>
          <w:rFonts w:ascii="David" w:hAnsi="David"/>
          <w:b/>
          <w:bCs/>
          <w:color w:val="000000"/>
          <w:rtl/>
        </w:rPr>
        <w:t> הקובע את "הזמן להתיישנותה" של תביעה שלא הוגשה עליה תובענה – תלויה "במהות עילת התובענה על-פי איפיונו של הסעד הנדרש" (ראו: דברי חברתי, השופטת א' פרוקצ'יה, ב-</w:t>
      </w:r>
      <w:hyperlink r:id="rId22" w:history="1">
        <w:r>
          <w:rPr>
            <w:rStyle w:val="Hyperlink"/>
            <w:rFonts w:ascii="David" w:hAnsi="David"/>
            <w:b/>
            <w:bCs/>
            <w:rtl/>
          </w:rPr>
          <w:t>ע"א 9382/02</w:t>
        </w:r>
      </w:hyperlink>
      <w:r>
        <w:rPr>
          <w:rFonts w:ascii="David" w:hAnsi="David"/>
          <w:b/>
          <w:bCs/>
          <w:color w:val="000000"/>
          <w:rtl/>
        </w:rPr>
        <w:t> בולוס ובניו נ' בנק דיסקונט למשכנתאות </w:t>
      </w:r>
      <w:r>
        <w:rPr>
          <w:rFonts w:ascii="David" w:hAnsi="David"/>
          <w:color w:val="000000"/>
          <w:rtl/>
        </w:rPr>
        <w:t>[פורסם בנבו] </w:t>
      </w:r>
      <w:r>
        <w:rPr>
          <w:rFonts w:ascii="David" w:hAnsi="David"/>
          <w:b/>
          <w:bCs/>
          <w:color w:val="000000"/>
          <w:rtl/>
        </w:rPr>
        <w:t>(10.6.2008), בפיסקה 26 (להלן: עניין בולוס)). הנה כי כן, אין די בכך שמקור העילה הוא "במקרקעין" (ראו: </w:t>
      </w:r>
      <w:hyperlink r:id="rId23" w:history="1">
        <w:r>
          <w:rPr>
            <w:rStyle w:val="Hyperlink"/>
            <w:rFonts w:ascii="David" w:hAnsi="David"/>
            <w:b/>
            <w:bCs/>
            <w:rtl/>
          </w:rPr>
          <w:t>ע"א 159/69 סלאמה נ' סלאמה, פ"ד כג</w:t>
        </w:r>
      </w:hyperlink>
      <w:r>
        <w:rPr>
          <w:rFonts w:ascii="David" w:hAnsi="David"/>
          <w:b/>
          <w:bCs/>
          <w:color w:val="000000"/>
          <w:rtl/>
        </w:rPr>
        <w:t>(2) 221 (1969); </w:t>
      </w:r>
      <w:hyperlink r:id="rId24" w:history="1">
        <w:r>
          <w:rPr>
            <w:rStyle w:val="Hyperlink"/>
            <w:rFonts w:ascii="David" w:hAnsi="David"/>
            <w:b/>
            <w:bCs/>
            <w:rtl/>
          </w:rPr>
          <w:t>ע"א 845/75 פרידקו בע"מ נ' מרדכי, פ"ד ל</w:t>
        </w:r>
      </w:hyperlink>
      <w:r>
        <w:rPr>
          <w:rFonts w:ascii="David" w:hAnsi="David"/>
          <w:b/>
          <w:bCs/>
          <w:color w:val="000000"/>
          <w:rtl/>
        </w:rPr>
        <w:t>(3) 744, 747 (1976)). השאלה אם יש לסווג תביעה כ"תביעה במקרקעין", כמובנה ב</w:t>
      </w:r>
      <w:hyperlink r:id="rId25" w:history="1">
        <w:r>
          <w:rPr>
            <w:rStyle w:val="Hyperlink"/>
            <w:rFonts w:ascii="David" w:hAnsi="David"/>
            <w:b/>
            <w:bCs/>
            <w:rtl/>
          </w:rPr>
          <w:t>חוק ההתיישנות</w:t>
        </w:r>
      </w:hyperlink>
      <w:r>
        <w:rPr>
          <w:rFonts w:ascii="David" w:hAnsi="David"/>
          <w:b/>
          <w:bCs/>
          <w:color w:val="000000"/>
          <w:rtl/>
        </w:rPr>
        <w:t>, אם לאו, תוכרע, איפוא, על פי: תוכן התביעה ומהותה. בתוך כך, ייבחנו: הן אופיו של הסעד הנעתר בגדרה והן טיבה של הזכות הנתבעת, קרי: האם מדובר ב"זכות או טובת הנאה בקרקע" (או פרט אחר הנכלל בהגדרת מקרקעין בסעיף 1 ל</w:t>
      </w:r>
      <w:hyperlink r:id="rId26" w:history="1">
        <w:r>
          <w:rPr>
            <w:rStyle w:val="Hyperlink"/>
            <w:rFonts w:ascii="David" w:hAnsi="David"/>
            <w:b/>
            <w:bCs/>
            <w:rtl/>
          </w:rPr>
          <w:t>חוק ההתיישנות</w:t>
        </w:r>
      </w:hyperlink>
      <w:r>
        <w:rPr>
          <w:rFonts w:ascii="David" w:hAnsi="David"/>
          <w:b/>
          <w:bCs/>
          <w:color w:val="000000"/>
          <w:rtl/>
        </w:rPr>
        <w:t>), במשמעות שניתנה למונחים אלה בפסיקה".</w:t>
      </w:r>
    </w:p>
    <w:p w:rsidR="000A4C00" w:rsidRDefault="000A4C00" w:rsidP="000A4C00">
      <w:pPr>
        <w:spacing w:line="300" w:lineRule="atLeast"/>
        <w:jc w:val="both"/>
        <w:rPr>
          <w:color w:val="000000"/>
          <w:sz w:val="20"/>
          <w:szCs w:val="20"/>
          <w:rtl/>
        </w:rPr>
      </w:pPr>
      <w:r>
        <w:rPr>
          <w:rFonts w:ascii="David" w:hAnsi="David"/>
          <w:color w:val="000000"/>
          <w:rtl/>
        </w:rPr>
        <w:t>בהמשך מסביר בית המשפט העליון, כי לא כל תביעת זכות או טובת הנאה תיחשב כתביעה במקרקעין לעניין </w:t>
      </w:r>
      <w:hyperlink r:id="rId27" w:history="1">
        <w:r>
          <w:rPr>
            <w:rStyle w:val="Hyperlink"/>
            <w:rFonts w:ascii="David" w:hAnsi="David"/>
            <w:rtl/>
          </w:rPr>
          <w:t>חוק ההתיישנות</w:t>
        </w:r>
      </w:hyperlink>
      <w:r>
        <w:rPr>
          <w:rFonts w:ascii="David" w:hAnsi="David"/>
          <w:color w:val="000000"/>
          <w:rtl/>
        </w:rPr>
        <w:t>: </w:t>
      </w:r>
    </w:p>
    <w:p w:rsidR="000A4C00" w:rsidRDefault="000A4C00" w:rsidP="000A4C00">
      <w:pPr>
        <w:jc w:val="both"/>
        <w:rPr>
          <w:rFonts w:ascii="David" w:hAnsi="David"/>
          <w:b/>
          <w:bCs/>
          <w:color w:val="000000"/>
          <w:rtl/>
        </w:rPr>
      </w:pPr>
    </w:p>
    <w:p w:rsidR="000A4C00" w:rsidRDefault="000A4C00" w:rsidP="000A4C00">
      <w:pPr>
        <w:jc w:val="both"/>
        <w:rPr>
          <w:color w:val="000000"/>
          <w:sz w:val="20"/>
          <w:szCs w:val="20"/>
          <w:rtl/>
        </w:rPr>
      </w:pPr>
      <w:r>
        <w:rPr>
          <w:rFonts w:ascii="David" w:hAnsi="David"/>
          <w:b/>
          <w:bCs/>
          <w:color w:val="000000"/>
          <w:rtl/>
        </w:rPr>
        <w:t>"על הזכות, או טובת ההנאה הנתבעת להיות זכות קניינית "בקרקע". כפי שעולה מדברי חברתי, המשנָה לנשיא, בעניין גסר, על הזכות הנתבעת להיות "זכות חפצא" (</w:t>
      </w:r>
      <w:r>
        <w:rPr>
          <w:b/>
          <w:bCs/>
          <w:color w:val="000000"/>
          <w:sz w:val="20"/>
          <w:szCs w:val="20"/>
        </w:rPr>
        <w:t>In Rem</w:t>
      </w:r>
      <w:r>
        <w:rPr>
          <w:rFonts w:ascii="David" w:hAnsi="David"/>
          <w:b/>
          <w:bCs/>
          <w:color w:val="000000"/>
          <w:rtl/>
        </w:rPr>
        <w:t>), "הנוגעת לנכס מקרקעין ספציפי ומעניקה לבעל הזכות אפשרות לאכוף אותה" כלפי כולי-עלמא – להבדיל מ"זכות גברא" (</w:t>
      </w:r>
      <w:r>
        <w:rPr>
          <w:b/>
          <w:bCs/>
          <w:color w:val="000000"/>
          <w:sz w:val="20"/>
          <w:szCs w:val="20"/>
        </w:rPr>
        <w:t>In Personam</w:t>
      </w:r>
      <w:r>
        <w:rPr>
          <w:rFonts w:ascii="David" w:hAnsi="David"/>
          <w:b/>
          <w:bCs/>
          <w:color w:val="000000"/>
          <w:rtl/>
        </w:rPr>
        <w:t>), המעניקה לבעליה את הכוח לאכוף על אדם אחר התחייבות שנטל כלפי בעל הזכות (קרי: זכות</w:t>
      </w:r>
      <w:r>
        <w:rPr>
          <w:rFonts w:ascii="David" w:hAnsi="David"/>
          <w:color w:val="000000"/>
          <w:rtl/>
        </w:rPr>
        <w:t> </w:t>
      </w:r>
      <w:r>
        <w:rPr>
          <w:rFonts w:ascii="David" w:hAnsi="David"/>
          <w:b/>
          <w:bCs/>
          <w:color w:val="000000"/>
          <w:rtl/>
        </w:rPr>
        <w:t>אובליגטורית).</w:t>
      </w:r>
    </w:p>
    <w:p w:rsidR="000A4C00" w:rsidRDefault="000A4C00" w:rsidP="000A4C00">
      <w:pPr>
        <w:jc w:val="both"/>
        <w:rPr>
          <w:color w:val="000000"/>
          <w:sz w:val="20"/>
          <w:szCs w:val="20"/>
          <w:rtl/>
        </w:rPr>
      </w:pPr>
      <w:r>
        <w:rPr>
          <w:rFonts w:ascii="David" w:hAnsi="David"/>
          <w:b/>
          <w:bCs/>
          <w:color w:val="000000"/>
          <w:rtl/>
        </w:rPr>
        <w:t>מכאן, כי רק תביעה למימוש זכות (או טובת הנאה) חפצית "בקרקע" (בין אם היא מנויה במפורש כזכות קניינית ב</w:t>
      </w:r>
      <w:hyperlink r:id="rId28" w:history="1">
        <w:r>
          <w:rPr>
            <w:rStyle w:val="Hyperlink"/>
            <w:rFonts w:ascii="David" w:hAnsi="David"/>
            <w:b/>
            <w:bCs/>
            <w:rtl/>
          </w:rPr>
          <w:t>חוק המקרקעין</w:t>
        </w:r>
      </w:hyperlink>
      <w:r>
        <w:rPr>
          <w:rFonts w:ascii="David" w:hAnsi="David"/>
          <w:b/>
          <w:bCs/>
          <w:color w:val="000000"/>
          <w:rtl/>
        </w:rPr>
        <w:t>, או טעונה רישום לפי החוק האמור, ובין אם לאו) ולקבלת סעד הנוגע לקרקע מסוימת, שבעקבותיו יחול שינוי במצב הזכויות הקנייניות בקרקע הנדונה, או בחזקה עליה – תיחשב כ"תביעה במקרקעין" לעניין </w:t>
      </w:r>
      <w:hyperlink r:id="rId29" w:history="1">
        <w:r>
          <w:rPr>
            <w:rStyle w:val="Hyperlink"/>
            <w:rFonts w:ascii="David" w:hAnsi="David"/>
            <w:b/>
            <w:bCs/>
            <w:rtl/>
          </w:rPr>
          <w:t>חוק ההתיישנות</w:t>
        </w:r>
      </w:hyperlink>
      <w:r>
        <w:rPr>
          <w:rFonts w:ascii="David" w:hAnsi="David"/>
          <w:b/>
          <w:bCs/>
          <w:color w:val="000000"/>
          <w:rtl/>
        </w:rPr>
        <w:t>. לעומת זאת, תביעה לקבלת סעד כספי גרידא, או למימושה של זכות אובליגטורית בלבד "על המקרקעין", או "בקשר למקרקעין", היינו: תביעה שנועדה לאכוף על אדם ספציפי קיום זכות אישית הקשורה לשימוש במקרקעין, או לקבלת סעד כספי הנובע כתוצאה מהפרת התחייבות כאמור – כגון: תביעה לקבלת פיצויים או השבה – תיחשב, ככלל, כתביעה "בשאינו מקרקעין". הטעם לדבר הינו כי עניינה של תביעה כאמור הוא, הלכה למעשה דרישה לקבלת זכויות, שדינן כדין מיטלטלין על פי הוראת סעיף 13(א) ל</w:t>
      </w:r>
      <w:hyperlink r:id="rId30" w:history="1">
        <w:r>
          <w:rPr>
            <w:rStyle w:val="Hyperlink"/>
            <w:rFonts w:ascii="David" w:hAnsi="David"/>
            <w:b/>
            <w:bCs/>
            <w:rtl/>
          </w:rPr>
          <w:t>חוק המיטלטלין</w:t>
        </w:r>
      </w:hyperlink>
      <w:r>
        <w:rPr>
          <w:rFonts w:ascii="David" w:hAnsi="David"/>
          <w:b/>
          <w:bCs/>
          <w:color w:val="000000"/>
          <w:rtl/>
        </w:rPr>
        <w:t>, התשל"א-1971 (להלן: חוק המיטלטלין). עיינו גם: חבקין, בעמ' 308; השוו: הסדר ההתיישנות המוצע בהצעת חוק דיני ממונות, התשע"א-2011, סעיפים: 853-842 (ה"ח הממשלה 595, 15.6.2011); לעניין ההבדל בין המונחים "במקרקעין" ו-"על המקרקעין", או "בנוגע למקרקעין" – ראו והשוו: מוטי בניאן, דיני מקרקעין עקרונות והלכות, 749-747 (מהדורה שניה, 2004) (להלן: בניאן).</w:t>
      </w:r>
    </w:p>
    <w:p w:rsidR="000A4C00" w:rsidRDefault="000A4C00" w:rsidP="000A4C00">
      <w:pPr>
        <w:spacing w:line="300" w:lineRule="atLeast"/>
        <w:jc w:val="both"/>
        <w:rPr>
          <w:rFonts w:ascii="David" w:hAnsi="David"/>
          <w:color w:val="000000"/>
          <w:rtl/>
        </w:rPr>
      </w:pPr>
    </w:p>
    <w:p w:rsidR="000A4C00" w:rsidRDefault="000A4C00" w:rsidP="000A4C00">
      <w:pPr>
        <w:spacing w:line="360" w:lineRule="auto"/>
        <w:jc w:val="both"/>
        <w:rPr>
          <w:rFonts w:ascii="David" w:eastAsia="Calibri" w:hAnsi="David"/>
          <w:noProof w:val="0"/>
          <w:rtl/>
        </w:rPr>
      </w:pPr>
      <w:r>
        <w:rPr>
          <w:rFonts w:ascii="David" w:hAnsi="David"/>
          <w:color w:val="000000"/>
          <w:rtl/>
        </w:rPr>
        <w:t>מהאמור עולה, כי ניתן ללמוד שתביעה שנושאה זכויות "בר רשות", גם אם זכויות אלה אינן קנייניות, תוכר כתביעה "במקרקעין" במשמעות </w:t>
      </w:r>
      <w:hyperlink r:id="rId31" w:history="1">
        <w:r>
          <w:rPr>
            <w:rStyle w:val="Hyperlink"/>
            <w:rFonts w:ascii="David" w:hAnsi="David"/>
            <w:rtl/>
          </w:rPr>
          <w:t>סעיף 5(2)</w:t>
        </w:r>
      </w:hyperlink>
      <w:r>
        <w:rPr>
          <w:rFonts w:ascii="David" w:hAnsi="David"/>
          <w:color w:val="000000"/>
          <w:rtl/>
        </w:rPr>
        <w:t> ל</w:t>
      </w:r>
      <w:hyperlink r:id="rId32" w:history="1">
        <w:r>
          <w:rPr>
            <w:rStyle w:val="Hyperlink"/>
            <w:rFonts w:ascii="David" w:hAnsi="David"/>
            <w:rtl/>
          </w:rPr>
          <w:t>חוק ההתיישנות</w:t>
        </w:r>
      </w:hyperlink>
      <w:r>
        <w:rPr>
          <w:rFonts w:ascii="David" w:hAnsi="David"/>
          <w:color w:val="000000"/>
          <w:rtl/>
        </w:rPr>
        <w:t xml:space="preserve"> ובעניינינו, לאור מבחן הסעד, ניתן ויש לראות בתובענה כתובענה שבמקרקעין לצורך </w:t>
      </w:r>
      <w:hyperlink r:id="rId33" w:history="1">
        <w:r>
          <w:rPr>
            <w:rStyle w:val="Hyperlink"/>
            <w:rFonts w:ascii="David" w:hAnsi="David"/>
            <w:rtl/>
          </w:rPr>
          <w:t>חוק ההתיישנות</w:t>
        </w:r>
      </w:hyperlink>
      <w:r>
        <w:rPr>
          <w:rFonts w:ascii="David" w:hAnsi="David"/>
          <w:color w:val="000000"/>
        </w:rPr>
        <w:t> </w:t>
      </w:r>
      <w:r>
        <w:rPr>
          <w:rFonts w:ascii="David" w:hAnsi="David"/>
          <w:color w:val="000000"/>
          <w:rtl/>
        </w:rPr>
        <w:t>וכך אני קובעת</w:t>
      </w:r>
      <w:r>
        <w:rPr>
          <w:rFonts w:ascii="David" w:hAnsi="David"/>
          <w:color w:val="000000"/>
        </w:rPr>
        <w:t>.</w:t>
      </w:r>
    </w:p>
    <w:p w:rsidR="000A4C00" w:rsidRDefault="000A4C00" w:rsidP="000A4C00">
      <w:pPr>
        <w:pStyle w:val="10"/>
        <w:bidi/>
        <w:spacing w:before="0" w:beforeAutospacing="0" w:after="0" w:afterAutospacing="0" w:line="360" w:lineRule="auto"/>
        <w:jc w:val="both"/>
        <w:rPr>
          <w:rFonts w:ascii="David" w:hAnsi="David" w:cs="David"/>
        </w:rPr>
      </w:pPr>
    </w:p>
    <w:p w:rsidR="000A4C00" w:rsidRDefault="000A4C00" w:rsidP="000A4C00">
      <w:pPr>
        <w:pStyle w:val="10"/>
        <w:bidi/>
        <w:spacing w:before="0" w:beforeAutospacing="0" w:after="0" w:afterAutospacing="0" w:line="360" w:lineRule="auto"/>
        <w:jc w:val="both"/>
        <w:rPr>
          <w:rFonts w:ascii="David" w:hAnsi="David" w:cs="David"/>
          <w:rtl/>
        </w:rPr>
      </w:pPr>
      <w:r>
        <w:rPr>
          <w:rFonts w:ascii="David" w:hAnsi="David" w:cs="David"/>
          <w:rtl/>
        </w:rPr>
        <w:lastRenderedPageBreak/>
        <w:t xml:space="preserve">היות ומועד הולדת התביעה, בכל הנוגע </w:t>
      </w:r>
      <w:proofErr w:type="spellStart"/>
      <w:r>
        <w:rPr>
          <w:rFonts w:ascii="David" w:hAnsi="David" w:cs="David"/>
          <w:rtl/>
        </w:rPr>
        <w:t>לרמ"י</w:t>
      </w:r>
      <w:proofErr w:type="spellEnd"/>
      <w:r>
        <w:rPr>
          <w:rFonts w:ascii="David" w:hAnsi="David" w:cs="David"/>
          <w:rtl/>
        </w:rPr>
        <w:t xml:space="preserve">, אינו במחלוקת והוא יולי 2014, </w:t>
      </w:r>
      <w:proofErr w:type="spellStart"/>
      <w:r>
        <w:rPr>
          <w:rFonts w:ascii="David" w:hAnsi="David" w:cs="David"/>
          <w:rtl/>
        </w:rPr>
        <w:t>ומשעסקינן</w:t>
      </w:r>
      <w:proofErr w:type="spellEnd"/>
      <w:r>
        <w:rPr>
          <w:rFonts w:ascii="David" w:hAnsi="David" w:cs="David"/>
          <w:rtl/>
        </w:rPr>
        <w:t xml:space="preserve"> בזכויות במקרקעין שאינם מוסדרים, טרם חלפו 15 שנה ולכן תביעתו של </w:t>
      </w:r>
      <w:r w:rsidR="00256F0D">
        <w:rPr>
          <w:rFonts w:ascii="David" w:hAnsi="David" w:cs="David"/>
          <w:rtl/>
        </w:rPr>
        <w:t>ב'</w:t>
      </w:r>
      <w:r>
        <w:rPr>
          <w:rFonts w:ascii="David" w:hAnsi="David" w:cs="David"/>
          <w:rtl/>
        </w:rPr>
        <w:t xml:space="preserve"> לא התיישנה.</w:t>
      </w:r>
    </w:p>
    <w:p w:rsidR="000A4C00" w:rsidRDefault="000A4C00" w:rsidP="000A4C00">
      <w:pPr>
        <w:pStyle w:val="10"/>
        <w:bidi/>
        <w:spacing w:before="0" w:beforeAutospacing="0" w:after="0" w:afterAutospacing="0" w:line="360" w:lineRule="auto"/>
        <w:jc w:val="both"/>
        <w:rPr>
          <w:rFonts w:ascii="David" w:hAnsi="David" w:cs="David"/>
          <w:rtl/>
        </w:rPr>
      </w:pPr>
    </w:p>
    <w:p w:rsidR="000A4C00" w:rsidRDefault="000A4C00" w:rsidP="000A4C00">
      <w:pPr>
        <w:rPr>
          <w:b/>
          <w:bCs/>
          <w:u w:val="single"/>
          <w:rtl/>
        </w:rPr>
      </w:pPr>
      <w:r>
        <w:rPr>
          <w:b/>
          <w:bCs/>
          <w:u w:val="single"/>
          <w:rtl/>
        </w:rPr>
        <w:t>18. סמכות עניינית</w:t>
      </w:r>
    </w:p>
    <w:p w:rsidR="000A4C00" w:rsidRDefault="000A4C00" w:rsidP="000A4C00">
      <w:pPr>
        <w:spacing w:line="360" w:lineRule="atLeast"/>
        <w:jc w:val="both"/>
        <w:rPr>
          <w:rtl/>
        </w:rPr>
      </w:pPr>
    </w:p>
    <w:p w:rsidR="000A4C00" w:rsidRDefault="00256F0D" w:rsidP="000A4C00">
      <w:pPr>
        <w:spacing w:line="360" w:lineRule="atLeast"/>
        <w:jc w:val="both"/>
        <w:rPr>
          <w:rtl/>
        </w:rPr>
      </w:pPr>
      <w:r>
        <w:rPr>
          <w:rtl/>
        </w:rPr>
        <w:t>ב'</w:t>
      </w:r>
      <w:r w:rsidR="000A4C00">
        <w:rPr>
          <w:rtl/>
        </w:rPr>
        <w:t xml:space="preserve"> הגיש תביעה כנגד </w:t>
      </w:r>
      <w:r>
        <w:rPr>
          <w:rtl/>
        </w:rPr>
        <w:t>א'</w:t>
      </w:r>
      <w:r w:rsidR="000A4C00">
        <w:rPr>
          <w:rtl/>
        </w:rPr>
        <w:t xml:space="preserve"> וכן כנגד רמ"י והסוכנות, והכל, בסופו של דבר, בטענה כי רמ"י, שינתה רישומו של התובע, כבעל זכויות בר הרשות בנכס, בניגוד לנהלי הרשות, בקנוניה אחת עם </w:t>
      </w:r>
      <w:r>
        <w:rPr>
          <w:rtl/>
        </w:rPr>
        <w:t>א'</w:t>
      </w:r>
      <w:r w:rsidR="000A4C00">
        <w:rPr>
          <w:rtl/>
        </w:rPr>
        <w:t xml:space="preserve"> ובניגוד לדין. </w:t>
      </w:r>
      <w:r>
        <w:rPr>
          <w:rtl/>
        </w:rPr>
        <w:t>ב'</w:t>
      </w:r>
      <w:r w:rsidR="000A4C00">
        <w:rPr>
          <w:rtl/>
        </w:rPr>
        <w:t xml:space="preserve"> טען, כי עומדת לטובתו החזקה המנהלית כי רישומו, במאי 2014 היה תקין, ואין מקום לבחון מדוע רישום זה נעשה.</w:t>
      </w:r>
    </w:p>
    <w:p w:rsidR="000A4C00" w:rsidRDefault="000A4C00" w:rsidP="000A4C00">
      <w:pPr>
        <w:spacing w:line="360" w:lineRule="atLeast"/>
        <w:jc w:val="both"/>
        <w:rPr>
          <w:rtl/>
        </w:rPr>
      </w:pPr>
    </w:p>
    <w:p w:rsidR="000A4C00" w:rsidRDefault="000A4C00" w:rsidP="000A4C00">
      <w:pPr>
        <w:spacing w:line="360" w:lineRule="atLeast"/>
        <w:jc w:val="both"/>
        <w:rPr>
          <w:rtl/>
        </w:rPr>
      </w:pPr>
      <w:r>
        <w:rPr>
          <w:rtl/>
        </w:rPr>
        <w:t xml:space="preserve">כן טוען כי </w:t>
      </w:r>
      <w:r w:rsidR="00256F0D">
        <w:rPr>
          <w:rtl/>
        </w:rPr>
        <w:t>א'</w:t>
      </w:r>
      <w:r>
        <w:rPr>
          <w:rtl/>
        </w:rPr>
        <w:t>, אשר קשר לעשות יד אחת עם רמ"י, אינו בעל מעמד בנכס, בהינתן קיומו של הסכם הממון.</w:t>
      </w:r>
    </w:p>
    <w:p w:rsidR="000A4C00" w:rsidRDefault="000A4C00" w:rsidP="000A4C00">
      <w:pPr>
        <w:spacing w:line="360" w:lineRule="atLeast"/>
        <w:jc w:val="both"/>
        <w:rPr>
          <w:rFonts w:ascii="David" w:hAnsi="David"/>
          <w:color w:val="000000"/>
          <w:rtl/>
        </w:rPr>
      </w:pPr>
    </w:p>
    <w:p w:rsidR="000A4C00" w:rsidRDefault="000A4C00" w:rsidP="000A4C00">
      <w:pPr>
        <w:spacing w:line="360" w:lineRule="atLeast"/>
        <w:jc w:val="both"/>
        <w:rPr>
          <w:rFonts w:ascii="David" w:hAnsi="David"/>
          <w:color w:val="000000"/>
          <w:rtl/>
        </w:rPr>
      </w:pPr>
      <w:r>
        <w:rPr>
          <w:rFonts w:ascii="David" w:hAnsi="David"/>
          <w:color w:val="000000"/>
          <w:rtl/>
        </w:rPr>
        <w:t xml:space="preserve">טענה בדבר חוסר סמכות עניינית ניתן להעלות בכל שלבי הדיון המשפטי, ולבטח טרם שנשמעו ראיות אם כי בניגוד לעבר, בו ניתן היה להעלות הטענה ללא כל הגבלה בכל שלב, כיום, קיימים מצבים בהם ידחה בית המשפט את הטענה אם הועלתה באיחור ובחוסר תום לב. </w:t>
      </w:r>
    </w:p>
    <w:p w:rsidR="000A4C00" w:rsidRDefault="000A4C00" w:rsidP="000A4C00">
      <w:pPr>
        <w:spacing w:line="360" w:lineRule="atLeast"/>
        <w:jc w:val="both"/>
        <w:rPr>
          <w:rtl/>
        </w:rPr>
      </w:pPr>
      <w:r>
        <w:rPr>
          <w:rFonts w:ascii="David" w:hAnsi="David"/>
          <w:color w:val="000000"/>
          <w:rtl/>
        </w:rPr>
        <w:t>אין ליישם גישה זו במקרה דנן שכן מצויים אנו עדיין בשלב קדם המשפט, שהוא שלב התחלתי מאוד של הדיון</w:t>
      </w:r>
      <w:r>
        <w:rPr>
          <w:rFonts w:ascii="David" w:hAnsi="David"/>
          <w:color w:val="000000"/>
        </w:rPr>
        <w:t xml:space="preserve"> (</w:t>
      </w:r>
      <w:hyperlink r:id="rId34" w:history="1">
        <w:r>
          <w:rPr>
            <w:rStyle w:val="Hyperlink"/>
            <w:rFonts w:ascii="David" w:hAnsi="David"/>
          </w:rPr>
          <w:t>4796/95</w:t>
        </w:r>
      </w:hyperlink>
      <w:r>
        <w:rPr>
          <w:rFonts w:ascii="David" w:hAnsi="David"/>
          <w:color w:val="000000"/>
        </w:rPr>
        <w:t> </w:t>
      </w:r>
      <w:r>
        <w:rPr>
          <w:rFonts w:ascii="David" w:hAnsi="David"/>
          <w:b/>
          <w:bCs/>
          <w:color w:val="000000"/>
          <w:rtl/>
        </w:rPr>
        <w:t>אלעוברה נ' אלעוברה</w:t>
      </w:r>
      <w:r>
        <w:rPr>
          <w:rFonts w:ascii="David" w:hAnsi="David"/>
          <w:color w:val="000000"/>
        </w:rPr>
        <w:t xml:space="preserve">, </w:t>
      </w:r>
      <w:r>
        <w:rPr>
          <w:rFonts w:ascii="David" w:hAnsi="David"/>
          <w:color w:val="000000"/>
          <w:rtl/>
        </w:rPr>
        <w:t>פ"ד נא</w:t>
      </w:r>
      <w:r>
        <w:rPr>
          <w:rFonts w:ascii="David" w:hAnsi="David"/>
          <w:color w:val="000000"/>
        </w:rPr>
        <w:t>(2)669 (1997); </w:t>
      </w:r>
      <w:hyperlink r:id="rId35" w:history="1">
        <w:r>
          <w:rPr>
            <w:rStyle w:val="Hyperlink"/>
            <w:rFonts w:ascii="David" w:hAnsi="David"/>
            <w:rtl/>
          </w:rPr>
          <w:t>ת"א (מחוזי- ת"א) 1143/04</w:t>
        </w:r>
      </w:hyperlink>
      <w:r>
        <w:rPr>
          <w:rFonts w:ascii="David" w:hAnsi="David"/>
          <w:color w:val="000000"/>
        </w:rPr>
        <w:t> </w:t>
      </w:r>
      <w:r>
        <w:rPr>
          <w:rFonts w:ascii="David" w:hAnsi="David"/>
          <w:b/>
          <w:bCs/>
          <w:color w:val="000000"/>
          <w:u w:val="single"/>
          <w:rtl/>
        </w:rPr>
        <w:t>צור נ' יעל תוכנה</w:t>
      </w:r>
      <w:r>
        <w:rPr>
          <w:rFonts w:ascii="David" w:hAnsi="David"/>
          <w:color w:val="000000"/>
          <w:rtl/>
        </w:rPr>
        <w:t> </w:t>
      </w:r>
      <w:r>
        <w:rPr>
          <w:rFonts w:ascii="David" w:hAnsi="David"/>
          <w:b/>
          <w:bCs/>
          <w:color w:val="000000"/>
          <w:u w:val="single"/>
          <w:rtl/>
        </w:rPr>
        <w:t>ומערכות בע"מ</w:t>
      </w:r>
      <w:r>
        <w:rPr>
          <w:rFonts w:ascii="David" w:hAnsi="David"/>
          <w:color w:val="000000"/>
          <w:rtl/>
        </w:rPr>
        <w:t> </w:t>
      </w:r>
      <w:r>
        <w:rPr>
          <w:rFonts w:ascii="David" w:hAnsi="David"/>
          <w:color w:val="000000"/>
        </w:rPr>
        <w:t>(</w:t>
      </w:r>
      <w:r>
        <w:rPr>
          <w:rFonts w:ascii="David" w:hAnsi="David"/>
          <w:color w:val="000000"/>
          <w:rtl/>
        </w:rPr>
        <w:t>לא פורסם, [פורסם בנבו], ניתן ביום 23.7.06</w:t>
      </w:r>
      <w:r>
        <w:rPr>
          <w:rFonts w:ascii="David" w:hAnsi="David"/>
          <w:color w:val="000000"/>
        </w:rPr>
        <w:t>.</w:t>
      </w:r>
    </w:p>
    <w:p w:rsidR="000A4C00" w:rsidRDefault="000A4C00" w:rsidP="000A4C00">
      <w:pPr>
        <w:spacing w:line="360" w:lineRule="auto"/>
        <w:jc w:val="both"/>
        <w:rPr>
          <w:rFonts w:ascii="David" w:hAnsi="David"/>
          <w:rtl/>
        </w:rPr>
      </w:pPr>
    </w:p>
    <w:p w:rsidR="000A4C00" w:rsidRDefault="000A4C00" w:rsidP="000A4C00">
      <w:pPr>
        <w:spacing w:line="360" w:lineRule="auto"/>
        <w:jc w:val="both"/>
        <w:rPr>
          <w:rFonts w:ascii="David" w:hAnsi="David"/>
          <w:rtl/>
        </w:rPr>
      </w:pPr>
      <w:r>
        <w:rPr>
          <w:rFonts w:ascii="David" w:hAnsi="David"/>
          <w:rtl/>
        </w:rPr>
        <w:t>יוטעם כי בנוגע לחזקת התקינות המנהלית הנטענת – עסקינן בנקודת המוצא לדיון המשפטי. חזקת התקינות המינהלית קובעת שברגיל, ניתן להניח לטובתה של הרשות המינהלית שהיא נהגה כדין. המשמעות היא ש"</w:t>
      </w:r>
      <w:r>
        <w:rPr>
          <w:rFonts w:ascii="David" w:hAnsi="David"/>
          <w:b/>
          <w:bCs/>
          <w:rtl/>
        </w:rPr>
        <w:t>רשויות המינהל אינן יכולות ואינן צריכות, כעניין שבשגרה, להתמודד עם טענות שיחייבו אותן להוכיח כל פעם, ומהתחלה, כי החלטות שהתקבלו בהן ומשמשות בסיס לפעולותיהן אכן התקבלו כדין</w:t>
      </w:r>
      <w:r>
        <w:rPr>
          <w:rFonts w:ascii="David" w:hAnsi="David"/>
          <w:b/>
          <w:bCs/>
        </w:rPr>
        <w:t>".</w:t>
      </w:r>
    </w:p>
    <w:p w:rsidR="000A4C00" w:rsidRDefault="000A4C00" w:rsidP="000A4C00">
      <w:pPr>
        <w:spacing w:line="360" w:lineRule="auto"/>
        <w:jc w:val="both"/>
        <w:rPr>
          <w:rFonts w:ascii="David" w:hAnsi="David"/>
        </w:rPr>
      </w:pPr>
      <w:r>
        <w:rPr>
          <w:rFonts w:ascii="David" w:hAnsi="David"/>
          <w:rtl/>
        </w:rPr>
        <w:t>חזקה זו היא חזקה הניתנת לסתירה. פירוש הדבר הוא שלמרות קיומה של ההנחה הזו, הרי שבמקרה ספציפי ניתן לטעון לכך שהרשות לא נהגה כדין. כאשר מצליחים לסתור את החזקה (ועל כך בהמשך), עובר נטל ההוכחה לרשות לשם הוכחה שפעילותה כן הייתה תקינה</w:t>
      </w:r>
      <w:r>
        <w:rPr>
          <w:rFonts w:ascii="David" w:hAnsi="David"/>
        </w:rPr>
        <w:t>.</w:t>
      </w:r>
    </w:p>
    <w:p w:rsidR="000A4C00" w:rsidRDefault="000A4C00" w:rsidP="000A4C00">
      <w:pPr>
        <w:spacing w:line="360" w:lineRule="auto"/>
        <w:jc w:val="both"/>
        <w:rPr>
          <w:rFonts w:ascii="David" w:hAnsi="David"/>
        </w:rPr>
      </w:pPr>
    </w:p>
    <w:p w:rsidR="000A4C00" w:rsidRDefault="000A4C00" w:rsidP="000A4C00">
      <w:pPr>
        <w:spacing w:line="360" w:lineRule="auto"/>
        <w:jc w:val="both"/>
        <w:rPr>
          <w:rtl/>
        </w:rPr>
      </w:pPr>
      <w:r>
        <w:rPr>
          <w:rtl/>
        </w:rPr>
        <w:t>סמכותו של בית המשפט לענייני משפחה קבועה בחוק בתי משפט לענייני משפחה, שם נקבעה זהותם של הצדדים היכולים לבוא בפתחו של בית משפט זה והעניינים, בהם מוסמך הוא לדון.</w:t>
      </w:r>
    </w:p>
    <w:p w:rsidR="000A4C00" w:rsidRDefault="000A4C00" w:rsidP="000A4C00">
      <w:pPr>
        <w:spacing w:line="360" w:lineRule="auto"/>
        <w:jc w:val="both"/>
        <w:rPr>
          <w:rFonts w:ascii="David" w:hAnsi="David"/>
          <w:rtl/>
        </w:rPr>
      </w:pPr>
    </w:p>
    <w:p w:rsidR="000A4C00" w:rsidRDefault="000A4C00" w:rsidP="000A4C00">
      <w:pPr>
        <w:spacing w:line="360" w:lineRule="auto"/>
        <w:jc w:val="both"/>
        <w:rPr>
          <w:rFonts w:ascii="David" w:hAnsi="David"/>
          <w:rtl/>
        </w:rPr>
      </w:pPr>
      <w:r>
        <w:rPr>
          <w:rFonts w:ascii="David" w:hAnsi="David"/>
          <w:rtl/>
        </w:rPr>
        <w:lastRenderedPageBreak/>
        <w:t xml:space="preserve">תקיפה ישירה של החלטת רשות מקרקעי ישראל, אינה בגדר סמכויותיו של בית המשפט לענייני משפחה. </w:t>
      </w:r>
    </w:p>
    <w:p w:rsidR="000A4C00" w:rsidRDefault="000A4C00" w:rsidP="000A4C00">
      <w:pPr>
        <w:spacing w:line="360" w:lineRule="auto"/>
        <w:jc w:val="both"/>
        <w:rPr>
          <w:rtl/>
        </w:rPr>
      </w:pPr>
    </w:p>
    <w:p w:rsidR="000A4C00" w:rsidRDefault="000A4C00" w:rsidP="000A4C00">
      <w:pPr>
        <w:spacing w:line="360" w:lineRule="auto"/>
        <w:jc w:val="both"/>
        <w:rPr>
          <w:rtl/>
        </w:rPr>
      </w:pPr>
      <w:r>
        <w:rPr>
          <w:rtl/>
        </w:rPr>
        <w:t xml:space="preserve">העילה המוצגת בידי </w:t>
      </w:r>
      <w:r w:rsidR="00256F0D">
        <w:rPr>
          <w:rtl/>
        </w:rPr>
        <w:t>ב'</w:t>
      </w:r>
      <w:r>
        <w:rPr>
          <w:rtl/>
        </w:rPr>
        <w:t xml:space="preserve"> מתמצה בנסיון לקעקע את חזקת התקינות ולבסס נרטיב שלפיו ביטול רישומו היה תוצר של קנוניה ונעשה שלא כדין.</w:t>
      </w:r>
    </w:p>
    <w:p w:rsidR="000A4C00" w:rsidRDefault="000A4C00" w:rsidP="000A4C00">
      <w:pPr>
        <w:spacing w:line="360" w:lineRule="auto"/>
        <w:jc w:val="both"/>
        <w:rPr>
          <w:rtl/>
        </w:rPr>
      </w:pPr>
      <w:r>
        <w:rPr>
          <w:rtl/>
        </w:rPr>
        <w:t>אין ניתן להסכים עם עמדתו של ב"כ התובע, כי תקיפה זו נשענת על הוראות חוק הירושה, שכן הוראות אלו אינן מבססות המסכת הנטענת לתקיפת ההחלטה של רמ"י, ואף לדברי ב"כ התובע, מדובר בליבון נהלים, מהם סטתה רמ"י.</w:t>
      </w:r>
    </w:p>
    <w:p w:rsidR="000A4C00" w:rsidRDefault="000A4C00" w:rsidP="000A4C00">
      <w:pPr>
        <w:spacing w:line="360" w:lineRule="auto"/>
        <w:jc w:val="both"/>
        <w:rPr>
          <w:rtl/>
        </w:rPr>
      </w:pPr>
    </w:p>
    <w:p w:rsidR="000A4C00" w:rsidRDefault="000A4C00" w:rsidP="000A4C00">
      <w:pPr>
        <w:spacing w:line="360" w:lineRule="auto"/>
        <w:jc w:val="both"/>
        <w:rPr>
          <w:rtl/>
        </w:rPr>
      </w:pPr>
      <w:r>
        <w:rPr>
          <w:rtl/>
        </w:rPr>
        <w:t>רצונו של התובע, להשען דווקא על חזקת תקינות מנהלית בנוגע לרישום שנעשה במאי 2024, להבחין מההחלטה לבטלו ביולי 2024, מחייב ברור, בפני הערכאה המוסמכת, בין שהיא בית המשפט לעניינים מנהליים, ובין ערכאה אחרת כדין.</w:t>
      </w:r>
    </w:p>
    <w:p w:rsidR="000A4C00" w:rsidRDefault="000A4C00" w:rsidP="000A4C00">
      <w:pPr>
        <w:spacing w:line="360" w:lineRule="atLeast"/>
        <w:jc w:val="both"/>
        <w:rPr>
          <w:rtl/>
        </w:rPr>
      </w:pPr>
    </w:p>
    <w:p w:rsidR="000A4C00" w:rsidRDefault="000A4C00" w:rsidP="000A4C00">
      <w:pPr>
        <w:spacing w:line="360" w:lineRule="atLeast"/>
        <w:jc w:val="both"/>
        <w:rPr>
          <w:u w:val="single"/>
          <w:rtl/>
        </w:rPr>
      </w:pPr>
      <w:r>
        <w:rPr>
          <w:u w:val="single"/>
          <w:rtl/>
        </w:rPr>
        <w:t>לפיכך – בית משפט זה נעדר סמכות עניינית לדון בתובענה כנגד רמ"י.</w:t>
      </w:r>
    </w:p>
    <w:p w:rsidR="000A4C00" w:rsidRDefault="000A4C00" w:rsidP="000A4C00">
      <w:pPr>
        <w:spacing w:line="360" w:lineRule="atLeast"/>
        <w:jc w:val="both"/>
        <w:rPr>
          <w:rtl/>
        </w:rPr>
      </w:pPr>
    </w:p>
    <w:p w:rsidR="000A4C00" w:rsidRDefault="000A4C00" w:rsidP="000A4C00">
      <w:pPr>
        <w:spacing w:line="360" w:lineRule="atLeast"/>
        <w:jc w:val="both"/>
        <w:rPr>
          <w:rtl/>
        </w:rPr>
      </w:pPr>
      <w:r>
        <w:rPr>
          <w:rtl/>
        </w:rPr>
        <w:t xml:space="preserve">אוסיף ואטעים, כי ב"כ התובע טען, כמובא לעיל, כי </w:t>
      </w:r>
      <w:r w:rsidR="00256F0D">
        <w:rPr>
          <w:rtl/>
        </w:rPr>
        <w:t>א'</w:t>
      </w:r>
      <w:r>
        <w:rPr>
          <w:rtl/>
        </w:rPr>
        <w:t xml:space="preserve"> "נגרר" להליך ולכאורה אין מניעה למחוק אותו, עת החיצים הופנו ומופנים כלפי רמ"י, מה שמחליש, עוד יותר, את התכנות עיגונה של הסמכות בבית משפט זה. </w:t>
      </w:r>
    </w:p>
    <w:p w:rsidR="000A4C00" w:rsidRDefault="000A4C00" w:rsidP="000A4C00">
      <w:pPr>
        <w:spacing w:line="360" w:lineRule="atLeast"/>
        <w:jc w:val="both"/>
        <w:rPr>
          <w:rtl/>
        </w:rPr>
      </w:pPr>
    </w:p>
    <w:p w:rsidR="000A4C00" w:rsidRDefault="000A4C00" w:rsidP="000A4C00">
      <w:pPr>
        <w:spacing w:line="360" w:lineRule="atLeast"/>
        <w:jc w:val="both"/>
        <w:rPr>
          <w:u w:val="single"/>
          <w:rtl/>
        </w:rPr>
      </w:pPr>
      <w:r>
        <w:rPr>
          <w:u w:val="single"/>
          <w:rtl/>
        </w:rPr>
        <w:t>מטעמים אלו יש מקום להורות על דחיית התובענה, כנגד רשות מקרקעי ישראל, על הסף וכך אני מורה.</w:t>
      </w:r>
    </w:p>
    <w:p w:rsidR="000A4C00" w:rsidRDefault="000A4C00" w:rsidP="000A4C00">
      <w:pPr>
        <w:spacing w:line="360" w:lineRule="atLeast"/>
        <w:jc w:val="both"/>
        <w:rPr>
          <w:rtl/>
        </w:rPr>
      </w:pPr>
    </w:p>
    <w:p w:rsidR="000A4C00" w:rsidRDefault="000A4C00" w:rsidP="000A4C00">
      <w:pPr>
        <w:spacing w:line="360" w:lineRule="atLeast"/>
        <w:jc w:val="both"/>
        <w:rPr>
          <w:b/>
          <w:bCs/>
          <w:u w:val="single"/>
          <w:rtl/>
        </w:rPr>
      </w:pPr>
      <w:r>
        <w:rPr>
          <w:b/>
          <w:bCs/>
          <w:u w:val="single"/>
          <w:rtl/>
        </w:rPr>
        <w:t>לשם הזהירות והסדר הטוב אוסיף ואבחן את טענות הסף הנוספות.</w:t>
      </w:r>
    </w:p>
    <w:p w:rsidR="00C42175" w:rsidRDefault="00C42175" w:rsidP="000A4C00">
      <w:pPr>
        <w:spacing w:line="360" w:lineRule="atLeast"/>
        <w:jc w:val="both"/>
        <w:rPr>
          <w:b/>
          <w:bCs/>
          <w:u w:val="single"/>
          <w:rtl/>
        </w:rPr>
      </w:pPr>
    </w:p>
    <w:p w:rsidR="000A4C00" w:rsidRDefault="000A4C00" w:rsidP="000A4C00">
      <w:pPr>
        <w:rPr>
          <w:b/>
          <w:bCs/>
          <w:u w:val="single"/>
          <w:rtl/>
        </w:rPr>
      </w:pPr>
    </w:p>
    <w:p w:rsidR="000A4C00" w:rsidRDefault="000A4C00" w:rsidP="000A4C00">
      <w:pPr>
        <w:rPr>
          <w:b/>
          <w:bCs/>
          <w:u w:val="single"/>
          <w:rtl/>
        </w:rPr>
      </w:pPr>
      <w:r>
        <w:rPr>
          <w:b/>
          <w:bCs/>
          <w:u w:val="single"/>
          <w:rtl/>
        </w:rPr>
        <w:t>19. העדר עילה/העדר יריבות</w:t>
      </w:r>
    </w:p>
    <w:p w:rsidR="000A4C00" w:rsidRDefault="000A4C00" w:rsidP="000A4C00">
      <w:pPr>
        <w:rPr>
          <w:rtl/>
        </w:rPr>
      </w:pPr>
    </w:p>
    <w:p w:rsidR="000A4C00" w:rsidRDefault="000A4C00" w:rsidP="000A4C00">
      <w:pPr>
        <w:spacing w:line="360" w:lineRule="auto"/>
        <w:jc w:val="both"/>
        <w:rPr>
          <w:rtl/>
        </w:rPr>
      </w:pPr>
    </w:p>
    <w:p w:rsidR="000A4C00" w:rsidRDefault="000A4C00" w:rsidP="000A4C00">
      <w:pPr>
        <w:spacing w:line="360" w:lineRule="auto"/>
        <w:jc w:val="both"/>
        <w:rPr>
          <w:rtl/>
        </w:rPr>
      </w:pPr>
      <w:r>
        <w:rPr>
          <w:rtl/>
        </w:rPr>
        <w:t xml:space="preserve">האם, ניתן לומר, כבר עתה, בשלב המקדמי, כי ככל והתובע, </w:t>
      </w:r>
      <w:r w:rsidR="00256F0D">
        <w:rPr>
          <w:rtl/>
        </w:rPr>
        <w:t>ב'</w:t>
      </w:r>
      <w:r>
        <w:rPr>
          <w:rtl/>
        </w:rPr>
        <w:t>, יוכיח את תביעתו, קרי, המסכת העובדתית הנטענת על ידו, יקבל את הסעד המבוקש. היינו בית המשפט יקבע כי הוא בעל הזכויות בנכס?</w:t>
      </w:r>
    </w:p>
    <w:p w:rsidR="000A4C00" w:rsidRDefault="000A4C00" w:rsidP="000A4C00">
      <w:pPr>
        <w:spacing w:line="360" w:lineRule="auto"/>
        <w:jc w:val="both"/>
        <w:rPr>
          <w:rtl/>
        </w:rPr>
      </w:pPr>
    </w:p>
    <w:p w:rsidR="000A4C00" w:rsidRDefault="000A4C00" w:rsidP="000A4C00">
      <w:pPr>
        <w:spacing w:line="360" w:lineRule="auto"/>
        <w:jc w:val="both"/>
        <w:rPr>
          <w:u w:val="single"/>
          <w:rtl/>
        </w:rPr>
      </w:pPr>
      <w:r>
        <w:rPr>
          <w:u w:val="single"/>
          <w:rtl/>
        </w:rPr>
        <w:t>המענה לשאלה זו הוא בשלילה.</w:t>
      </w:r>
    </w:p>
    <w:p w:rsidR="000A4C00" w:rsidRDefault="000A4C00" w:rsidP="000A4C00">
      <w:pPr>
        <w:spacing w:line="360" w:lineRule="auto"/>
        <w:jc w:val="both"/>
        <w:rPr>
          <w:rtl/>
        </w:rPr>
      </w:pPr>
    </w:p>
    <w:p w:rsidR="000A4C00" w:rsidRDefault="000A4C00" w:rsidP="000A4C00">
      <w:pPr>
        <w:spacing w:line="360" w:lineRule="atLeast"/>
        <w:jc w:val="both"/>
        <w:rPr>
          <w:rtl/>
        </w:rPr>
      </w:pPr>
      <w:r>
        <w:rPr>
          <w:rtl/>
        </w:rPr>
        <w:lastRenderedPageBreak/>
        <w:t>בעניין האמור לעיל (בפרק הסמכות העניינית) ובקשר ישיר לראש טיעון שלישי זה, אטעים, ולו למעלה מהצורך, משנמצא שטענת העדר הסמכות מוצדקת, כי אף אם בידי התובע לבסס, כי אכן רמ"י טעתה בהתנהלותה ופעלה בניגוד לנהלים עת שינתה שוב את רישום הזכויות בספריה, לשמו של המנוח, בצרוף מספר זהותו של המנוח – אין בידי התובע להוכיח זכויות מהותיות בנכס, והכל לפי מה שהוצג והובא על ידו במסגרת התובענה שלפני.</w:t>
      </w:r>
    </w:p>
    <w:p w:rsidR="000A4C00" w:rsidRDefault="000A4C00" w:rsidP="000A4C00">
      <w:pPr>
        <w:spacing w:line="360" w:lineRule="atLeast"/>
        <w:jc w:val="both"/>
        <w:rPr>
          <w:rtl/>
        </w:rPr>
      </w:pPr>
    </w:p>
    <w:p w:rsidR="000A4C00" w:rsidRDefault="00256F0D" w:rsidP="000A4C00">
      <w:pPr>
        <w:spacing w:line="360" w:lineRule="atLeast"/>
        <w:jc w:val="both"/>
        <w:rPr>
          <w:rtl/>
        </w:rPr>
      </w:pPr>
      <w:r>
        <w:rPr>
          <w:rtl/>
        </w:rPr>
        <w:t>ב'</w:t>
      </w:r>
      <w:r w:rsidR="000A4C00">
        <w:rPr>
          <w:rtl/>
        </w:rPr>
        <w:t xml:space="preserve"> אינו יורש של המנוחה ואינו נכנס לאחת מהוראות הסכם המשבצת, בנוגע לנכס.</w:t>
      </w:r>
    </w:p>
    <w:p w:rsidR="000A4C00" w:rsidRDefault="000A4C00" w:rsidP="000A4C00">
      <w:pPr>
        <w:spacing w:line="360" w:lineRule="atLeast"/>
        <w:jc w:val="both"/>
        <w:rPr>
          <w:rtl/>
        </w:rPr>
      </w:pPr>
    </w:p>
    <w:p w:rsidR="000A4C00" w:rsidRDefault="000A4C00" w:rsidP="000A4C00">
      <w:pPr>
        <w:spacing w:line="360" w:lineRule="atLeast"/>
        <w:jc w:val="both"/>
        <w:rPr>
          <w:rFonts w:ascii="David" w:hAnsi="David"/>
          <w:noProof w:val="0"/>
          <w:color w:val="000000"/>
          <w:rtl/>
        </w:rPr>
      </w:pPr>
      <w:r>
        <w:rPr>
          <w:rFonts w:ascii="David" w:hAnsi="David"/>
          <w:rtl/>
        </w:rPr>
        <w:t xml:space="preserve">מעבר לכך יובהר שאף אם לכאורה היה בידי </w:t>
      </w:r>
      <w:r w:rsidR="00256F0D">
        <w:rPr>
          <w:rFonts w:ascii="David" w:hAnsi="David"/>
          <w:rtl/>
        </w:rPr>
        <w:t>ב'</w:t>
      </w:r>
      <w:r>
        <w:rPr>
          <w:rFonts w:ascii="David" w:hAnsi="David"/>
          <w:rtl/>
        </w:rPr>
        <w:t xml:space="preserve"> להציג צוואה של המנוח, והסתלקויות לטובתו, די היה בהוראת סעיף 6(ב) לחוק הירושה, הקובע: "</w:t>
      </w:r>
      <w:r>
        <w:rPr>
          <w:rFonts w:ascii="David" w:hAnsi="David"/>
          <w:b/>
          <w:bCs/>
          <w:noProof w:val="0"/>
          <w:color w:val="000000"/>
          <w:rtl/>
        </w:rPr>
        <w:t xml:space="preserve">מי שהסתלק מחלקו </w:t>
      </w:r>
      <w:proofErr w:type="spellStart"/>
      <w:r>
        <w:rPr>
          <w:rFonts w:ascii="David" w:hAnsi="David"/>
          <w:b/>
          <w:bCs/>
          <w:noProof w:val="0"/>
          <w:color w:val="000000"/>
          <w:rtl/>
        </w:rPr>
        <w:t>בעזבון</w:t>
      </w:r>
      <w:proofErr w:type="spellEnd"/>
      <w:r>
        <w:rPr>
          <w:rFonts w:ascii="David" w:hAnsi="David"/>
          <w:b/>
          <w:bCs/>
          <w:noProof w:val="0"/>
          <w:color w:val="000000"/>
          <w:rtl/>
        </w:rPr>
        <w:t>, רואים אותו במידה שהסתלק כאילו לא היה יורש מלכתחילה; אין הסתלקות לטובת אדם אחר, אלא לטובת בן-זוגו, ילדו או אחיו של המוריש</w:t>
      </w:r>
      <w:r>
        <w:rPr>
          <w:rFonts w:ascii="David" w:hAnsi="David"/>
          <w:b/>
          <w:bCs/>
          <w:noProof w:val="0"/>
          <w:color w:val="000000"/>
        </w:rPr>
        <w:t>.</w:t>
      </w:r>
      <w:r>
        <w:rPr>
          <w:rFonts w:ascii="David" w:hAnsi="David"/>
          <w:b/>
          <w:bCs/>
          <w:noProof w:val="0"/>
          <w:color w:val="000000"/>
          <w:rtl/>
        </w:rPr>
        <w:t xml:space="preserve">", </w:t>
      </w:r>
      <w:r>
        <w:rPr>
          <w:rFonts w:ascii="David" w:hAnsi="David"/>
          <w:noProof w:val="0"/>
          <w:color w:val="000000"/>
          <w:rtl/>
        </w:rPr>
        <w:t xml:space="preserve">כדי להעמיד ההסתלקות בספק עד כדי ביטולה. וזאת מעבר לעובדה, בין היתר, כי התובע הודיע שאין בידו ההסתלקויות ועולה כי כאלו לא הוצגו לרשם הירושות על מנת </w:t>
      </w:r>
      <w:proofErr w:type="spellStart"/>
      <w:r>
        <w:rPr>
          <w:rFonts w:ascii="David" w:hAnsi="David"/>
          <w:noProof w:val="0"/>
          <w:color w:val="000000"/>
          <w:rtl/>
        </w:rPr>
        <w:t>ליתן</w:t>
      </w:r>
      <w:proofErr w:type="spellEnd"/>
      <w:r>
        <w:rPr>
          <w:rFonts w:ascii="David" w:hAnsi="David"/>
          <w:noProof w:val="0"/>
          <w:color w:val="000000"/>
          <w:rtl/>
        </w:rPr>
        <w:t xml:space="preserve"> להן תוקף כדין.</w:t>
      </w:r>
    </w:p>
    <w:p w:rsidR="000A4C00" w:rsidRDefault="000A4C00" w:rsidP="000A4C00">
      <w:pPr>
        <w:spacing w:line="360" w:lineRule="atLeast"/>
        <w:jc w:val="both"/>
        <w:rPr>
          <w:rFonts w:ascii="David" w:hAnsi="David"/>
        </w:rPr>
      </w:pPr>
    </w:p>
    <w:p w:rsidR="000A4C00" w:rsidRDefault="000A4C00" w:rsidP="000A4C00">
      <w:pPr>
        <w:spacing w:line="360" w:lineRule="atLeast"/>
        <w:jc w:val="both"/>
        <w:rPr>
          <w:rtl/>
        </w:rPr>
      </w:pPr>
      <w:r>
        <w:rPr>
          <w:rtl/>
        </w:rPr>
        <w:t xml:space="preserve">בנוסף, בהוראות הסכם המשבצת, הקובעות דרך העברת הזכויות בנכס, די כדי לקבוע שאין בידי התובע, עילה, למתן סעד הקובע, כי הוא בעל הזכויות המהותית בנכס, אף אם יוכיח טענותיו, כלפי רמ"י והן כלפי </w:t>
      </w:r>
      <w:r w:rsidR="00256F0D">
        <w:rPr>
          <w:rtl/>
        </w:rPr>
        <w:t>א'</w:t>
      </w:r>
      <w:r>
        <w:rPr>
          <w:rtl/>
        </w:rPr>
        <w:t>, בדבר התנהלותו, חסרת תום הלב הנטענת, מול רמ"י.</w:t>
      </w:r>
    </w:p>
    <w:p w:rsidR="000A4C00" w:rsidRDefault="000A4C00" w:rsidP="000A4C00">
      <w:pPr>
        <w:spacing w:line="360" w:lineRule="atLeast"/>
        <w:jc w:val="both"/>
        <w:rPr>
          <w:rtl/>
        </w:rPr>
      </w:pPr>
    </w:p>
    <w:p w:rsidR="000A4C00" w:rsidRDefault="000A4C00" w:rsidP="000A4C00">
      <w:pPr>
        <w:spacing w:line="360" w:lineRule="atLeast"/>
        <w:jc w:val="both"/>
        <w:rPr>
          <w:rtl/>
        </w:rPr>
      </w:pPr>
      <w:r>
        <w:rPr>
          <w:rtl/>
        </w:rPr>
        <w:t xml:space="preserve">התובע יורש של המנוח בלבד, ב 1/96 חלקים. </w:t>
      </w:r>
    </w:p>
    <w:p w:rsidR="000A4C00" w:rsidRDefault="000A4C00" w:rsidP="000A4C00">
      <w:pPr>
        <w:spacing w:line="360" w:lineRule="atLeast"/>
        <w:jc w:val="both"/>
        <w:rPr>
          <w:rtl/>
        </w:rPr>
      </w:pPr>
      <w:r>
        <w:rPr>
          <w:rtl/>
        </w:rPr>
        <w:t xml:space="preserve">בהתאם להסכם המשבצת - המנוחה היתה זכאית להרשם כברת הרשות, בהיותה בת זוגו, בחיים, באותה עת, של המנוח (עת לא יכולה היתה להסתלק לטובת התובע והסתלקות כזו אף לא קיימת בידי התובע). </w:t>
      </w:r>
    </w:p>
    <w:p w:rsidR="000A4C00" w:rsidRDefault="000A4C00" w:rsidP="000A4C00">
      <w:pPr>
        <w:spacing w:line="360" w:lineRule="atLeast"/>
        <w:jc w:val="both"/>
        <w:rPr>
          <w:rtl/>
        </w:rPr>
      </w:pPr>
    </w:p>
    <w:p w:rsidR="000A4C00" w:rsidRDefault="000A4C00" w:rsidP="000A4C00">
      <w:pPr>
        <w:spacing w:line="360" w:lineRule="atLeast"/>
        <w:jc w:val="both"/>
        <w:rPr>
          <w:rtl/>
        </w:rPr>
      </w:pPr>
      <w:r>
        <w:rPr>
          <w:rtl/>
        </w:rPr>
        <w:t>התובע אינו יורש של המנוחה ואינו מנוי כאחד הגורמים שיכול לקבל לידיו הזכויות במשק, ולהבחן ככזה שיכול "לקיימו", בהתאם להוראות סעיף 114 לחוק הירושה.</w:t>
      </w:r>
    </w:p>
    <w:p w:rsidR="000A4C00" w:rsidRDefault="000A4C00" w:rsidP="000A4C00">
      <w:pPr>
        <w:spacing w:line="360" w:lineRule="atLeast"/>
        <w:jc w:val="both"/>
        <w:rPr>
          <w:rtl/>
        </w:rPr>
      </w:pPr>
      <w:r>
        <w:rPr>
          <w:rtl/>
        </w:rPr>
        <w:t>לכן יש לקבוע כי התובע לא יכול לבסס עילה לזכות מהותית בנכס.</w:t>
      </w:r>
    </w:p>
    <w:p w:rsidR="000A4C00" w:rsidRDefault="000A4C00" w:rsidP="000A4C00">
      <w:pPr>
        <w:spacing w:line="360" w:lineRule="atLeast"/>
        <w:jc w:val="both"/>
        <w:rPr>
          <w:rtl/>
        </w:rPr>
      </w:pPr>
    </w:p>
    <w:p w:rsidR="000A4C00" w:rsidRDefault="000A4C00" w:rsidP="000A4C00">
      <w:pPr>
        <w:spacing w:line="360" w:lineRule="atLeast"/>
        <w:jc w:val="both"/>
        <w:rPr>
          <w:rtl/>
        </w:rPr>
      </w:pPr>
      <w:r>
        <w:rPr>
          <w:rtl/>
        </w:rPr>
        <w:t>האמור נקבע, בזהירות, מהטעם שהתובע לא תבע רישום זכויות בהתאם לאמור, אך טען טענות, מהן משתמע, שעומדות לו זכויות מהותיות. זכויות, שכאמור, אין בידו, להוכיח כפי שהומחש על פני כתב התביעה ובדיונים שהתקיימו.</w:t>
      </w:r>
    </w:p>
    <w:p w:rsidR="000A4C00" w:rsidRDefault="000A4C00" w:rsidP="000A4C00">
      <w:pPr>
        <w:spacing w:line="360" w:lineRule="atLeast"/>
        <w:jc w:val="both"/>
        <w:rPr>
          <w:rtl/>
        </w:rPr>
      </w:pPr>
    </w:p>
    <w:p w:rsidR="000A4C00" w:rsidRDefault="000A4C00" w:rsidP="000A4C00">
      <w:pPr>
        <w:spacing w:line="360" w:lineRule="atLeast"/>
        <w:jc w:val="both"/>
        <w:rPr>
          <w:rtl/>
        </w:rPr>
      </w:pPr>
      <w:r>
        <w:rPr>
          <w:rtl/>
        </w:rPr>
        <w:lastRenderedPageBreak/>
        <w:t xml:space="preserve">מעבר לכך אוסיף, כי טענות התובע, כלפי </w:t>
      </w:r>
      <w:r w:rsidR="00256F0D">
        <w:rPr>
          <w:rtl/>
        </w:rPr>
        <w:t>א'</w:t>
      </w:r>
      <w:r>
        <w:rPr>
          <w:rtl/>
        </w:rPr>
        <w:t xml:space="preserve">, בכל הנוגע להסכם הממון, נטענו בלא שיש לו מעמד להעלותן. התובע אינו יורש של המנוחה ואינו בעל דין שיכול, לכאורה, לייצג את עזבונה, ולתבוע מכוחו את </w:t>
      </w:r>
      <w:r w:rsidR="00256F0D">
        <w:rPr>
          <w:rtl/>
        </w:rPr>
        <w:t>א'</w:t>
      </w:r>
      <w:r>
        <w:rPr>
          <w:rtl/>
        </w:rPr>
        <w:t>, בכל הנוגע להסכם הממון. כמו כן לא הוגשה בקשה לביטול צו הירושה או התנגדות לצו הירושה שניתן בעניינה.</w:t>
      </w:r>
    </w:p>
    <w:p w:rsidR="000A4C00" w:rsidRDefault="000A4C00" w:rsidP="000A4C00">
      <w:pPr>
        <w:spacing w:line="360" w:lineRule="atLeast"/>
        <w:jc w:val="both"/>
        <w:rPr>
          <w:rtl/>
        </w:rPr>
      </w:pPr>
    </w:p>
    <w:p w:rsidR="000A4C00" w:rsidRDefault="000A4C00" w:rsidP="000A4C00">
      <w:pPr>
        <w:spacing w:line="360" w:lineRule="atLeast"/>
        <w:jc w:val="both"/>
        <w:rPr>
          <w:rFonts w:ascii="David" w:hAnsi="David"/>
          <w:b/>
          <w:bCs/>
          <w:noProof w:val="0"/>
          <w:color w:val="000000"/>
          <w:rtl/>
        </w:rPr>
      </w:pPr>
      <w:r>
        <w:rPr>
          <w:rFonts w:ascii="David" w:hAnsi="David"/>
          <w:rtl/>
        </w:rPr>
        <w:t>מעבר לכך – אף אם אניח כי ל</w:t>
      </w:r>
      <w:r w:rsidR="00256F0D">
        <w:rPr>
          <w:rFonts w:ascii="David" w:hAnsi="David"/>
          <w:rtl/>
        </w:rPr>
        <w:t>ב'</w:t>
      </w:r>
      <w:r>
        <w:rPr>
          <w:rFonts w:ascii="David" w:hAnsi="David"/>
          <w:rtl/>
        </w:rPr>
        <w:t xml:space="preserve"> מעמד שכזה, אין בידי </w:t>
      </w:r>
      <w:r w:rsidR="00256F0D">
        <w:rPr>
          <w:rFonts w:ascii="David" w:hAnsi="David"/>
          <w:rtl/>
        </w:rPr>
        <w:t>ב'</w:t>
      </w:r>
      <w:r>
        <w:rPr>
          <w:rFonts w:ascii="David" w:hAnsi="David"/>
          <w:rtl/>
        </w:rPr>
        <w:t xml:space="preserve"> להוכיח זכויות בנכס, על בסיס הסכם הממון, עת אינו בר תוקף לאחר מות המנוחה, כאשר אין בו כל הוראה המתייחסת למקרה מוות. ראה סעיף 8(א) לחוק הירושה, הקובע "</w:t>
      </w:r>
      <w:r>
        <w:rPr>
          <w:rFonts w:ascii="David" w:hAnsi="David"/>
          <w:b/>
          <w:bCs/>
          <w:noProof w:val="0"/>
          <w:color w:val="000000"/>
          <w:rtl/>
        </w:rPr>
        <w:t>הסכם בדבר ירושתו של אדם וויתור על ירושתו שנעשו בחייו של אותו אדם – בטלים".</w:t>
      </w:r>
    </w:p>
    <w:p w:rsidR="000A4C00" w:rsidRDefault="000A4C00" w:rsidP="000A4C00">
      <w:pPr>
        <w:spacing w:line="360" w:lineRule="atLeast"/>
        <w:jc w:val="both"/>
        <w:rPr>
          <w:rFonts w:ascii="David" w:hAnsi="David"/>
          <w:rtl/>
        </w:rPr>
      </w:pPr>
    </w:p>
    <w:p w:rsidR="000A4C00" w:rsidRDefault="000A4C00" w:rsidP="000A4C00">
      <w:pPr>
        <w:spacing w:line="360" w:lineRule="atLeast"/>
        <w:jc w:val="both"/>
        <w:rPr>
          <w:rFonts w:ascii="David" w:hAnsi="David"/>
          <w:rtl/>
        </w:rPr>
      </w:pPr>
      <w:r>
        <w:rPr>
          <w:rFonts w:ascii="David" w:hAnsi="David"/>
          <w:rtl/>
        </w:rPr>
        <w:t>בעניין זה אפנה לפסק דינו של בית משפט העליון בבעמ 1811/20 פלוני נ' פלונית, מיום 13.04.21, שם נקבע:</w:t>
      </w:r>
    </w:p>
    <w:p w:rsidR="000A4C00" w:rsidRDefault="000A4C00" w:rsidP="000A4C00">
      <w:pPr>
        <w:jc w:val="both"/>
        <w:rPr>
          <w:rFonts w:ascii="David" w:hAnsi="David"/>
          <w:rtl/>
        </w:rPr>
      </w:pPr>
    </w:p>
    <w:p w:rsidR="000A4C00" w:rsidRDefault="000A4C00" w:rsidP="000A4C00">
      <w:pPr>
        <w:jc w:val="both"/>
        <w:rPr>
          <w:rFonts w:ascii="David" w:hAnsi="David"/>
          <w:rtl/>
        </w:rPr>
      </w:pPr>
      <w:r>
        <w:rPr>
          <w:rFonts w:ascii="David" w:hAnsi="David"/>
          <w:rtl/>
        </w:rPr>
        <w:t>"</w:t>
      </w:r>
      <w:r>
        <w:rPr>
          <w:rFonts w:ascii="David" w:hAnsi="David"/>
          <w:b/>
          <w:bCs/>
          <w:rtl/>
        </w:rPr>
        <w:t>נקודת המוצא בבחינת היחס שבין </w:t>
      </w:r>
      <w:hyperlink r:id="rId36" w:history="1">
        <w:r>
          <w:rPr>
            <w:rStyle w:val="Hyperlink"/>
            <w:rFonts w:ascii="David" w:hAnsi="David"/>
            <w:b/>
            <w:bCs/>
            <w:rtl/>
          </w:rPr>
          <w:t>חוק יחסי ממון</w:t>
        </w:r>
      </w:hyperlink>
      <w:r>
        <w:rPr>
          <w:rFonts w:ascii="David" w:hAnsi="David"/>
          <w:b/>
          <w:bCs/>
        </w:rPr>
        <w:t> </w:t>
      </w:r>
      <w:r>
        <w:rPr>
          <w:rFonts w:ascii="David" w:hAnsi="David"/>
          <w:b/>
          <w:bCs/>
          <w:rtl/>
        </w:rPr>
        <w:t>לבין סעיף 8 ל</w:t>
      </w:r>
      <w:hyperlink r:id="rId37" w:history="1">
        <w:r>
          <w:rPr>
            <w:rStyle w:val="Hyperlink"/>
            <w:rFonts w:ascii="David" w:hAnsi="David"/>
            <w:b/>
            <w:bCs/>
            <w:rtl/>
          </w:rPr>
          <w:t>חוק הירושה</w:t>
        </w:r>
      </w:hyperlink>
      <w:r>
        <w:rPr>
          <w:rFonts w:ascii="David" w:hAnsi="David"/>
          <w:b/>
          <w:bCs/>
        </w:rPr>
        <w:t> </w:t>
      </w:r>
      <w:r>
        <w:rPr>
          <w:rFonts w:ascii="David" w:hAnsi="David"/>
          <w:b/>
          <w:bCs/>
          <w:rtl/>
        </w:rPr>
        <w:t>אינה של התנגשות דינים, אלא שיש להפעיל את שני החוקים ולפרשם במידת האפשר</w:t>
      </w:r>
      <w:r>
        <w:rPr>
          <w:rFonts w:ascii="David" w:hAnsi="David"/>
          <w:b/>
          <w:bCs/>
        </w:rPr>
        <w:t>  "</w:t>
      </w:r>
      <w:r>
        <w:rPr>
          <w:rFonts w:ascii="David" w:hAnsi="David"/>
          <w:b/>
          <w:bCs/>
          <w:rtl/>
        </w:rPr>
        <w:t>באופן ששואף ליצירת הרמוניה ביניהם", כלשון השופט הנדל</w:t>
      </w:r>
      <w:r>
        <w:rPr>
          <w:rFonts w:ascii="David" w:hAnsi="David"/>
          <w:b/>
          <w:bCs/>
        </w:rPr>
        <w:t>. </w:t>
      </w:r>
      <w:r>
        <w:rPr>
          <w:rFonts w:ascii="David" w:hAnsi="David"/>
          <w:b/>
          <w:bCs/>
          <w:rtl/>
        </w:rPr>
        <w:t>ואולם זאת מתוך מגמה של "צמצום מרבי" של המצבים בהם ייפסל הסכם ממון בעילה של סתירה להוראות סעיף 8 ל</w:t>
      </w:r>
      <w:hyperlink r:id="rId38" w:history="1">
        <w:r>
          <w:rPr>
            <w:rStyle w:val="Hyperlink"/>
            <w:rFonts w:ascii="David" w:hAnsi="David"/>
            <w:b/>
            <w:bCs/>
            <w:rtl/>
          </w:rPr>
          <w:t>חוק הירושה</w:t>
        </w:r>
      </w:hyperlink>
      <w:r>
        <w:rPr>
          <w:rFonts w:ascii="David" w:hAnsi="David"/>
          <w:b/>
          <w:bCs/>
        </w:rPr>
        <w:t xml:space="preserve">. </w:t>
      </w:r>
      <w:r>
        <w:rPr>
          <w:rFonts w:ascii="David" w:hAnsi="David"/>
          <w:b/>
          <w:bCs/>
          <w:rtl/>
        </w:rPr>
        <w:t>האבחנה בין הסכם המשפיע על היקף העיזבון לבין הסכם הקובע את שייעשה בעיזבון, עשויה לעורר לא פעם קושי לא מבוטל בסיווג, ובצדק ציין פרופ' שילה כי </w:t>
      </w:r>
      <w:r>
        <w:rPr>
          <w:rFonts w:ascii="David" w:hAnsi="David"/>
          <w:b/>
          <w:bCs/>
        </w:rPr>
        <w:t>"</w:t>
      </w:r>
      <w:r>
        <w:rPr>
          <w:rFonts w:ascii="David" w:hAnsi="David"/>
          <w:b/>
          <w:bCs/>
          <w:rtl/>
        </w:rPr>
        <w:t>החילוק בין הסכם בדבר ירושה, שבטל, לבין הסכם בדבר נכסי עיזבון, שתקף, הוא מן הדקים ולא בנקל אפשר ליישם את העיקרון המופשט על מסכת העובדות</w:t>
      </w:r>
      <w:r>
        <w:rPr>
          <w:rFonts w:ascii="David" w:hAnsi="David"/>
          <w:b/>
          <w:bCs/>
        </w:rPr>
        <w:t>" (</w:t>
      </w:r>
      <w:r>
        <w:rPr>
          <w:rFonts w:ascii="David" w:hAnsi="David"/>
          <w:b/>
          <w:bCs/>
          <w:rtl/>
        </w:rPr>
        <w:t>שילה</w:t>
      </w:r>
      <w:r>
        <w:rPr>
          <w:rFonts w:ascii="David" w:hAnsi="David"/>
          <w:b/>
          <w:bCs/>
        </w:rPr>
        <w:t>-</w:t>
      </w:r>
      <w:hyperlink r:id="rId39" w:history="1">
        <w:r>
          <w:rPr>
            <w:rStyle w:val="Hyperlink"/>
            <w:rFonts w:ascii="David" w:hAnsi="David"/>
            <w:b/>
            <w:bCs/>
            <w:rtl/>
          </w:rPr>
          <w:t>חוק הירושה</w:t>
        </w:r>
      </w:hyperlink>
      <w:r>
        <w:rPr>
          <w:rFonts w:ascii="David" w:hAnsi="David"/>
          <w:b/>
          <w:bCs/>
        </w:rPr>
        <w:t xml:space="preserve"> 97-96). </w:t>
      </w:r>
      <w:r>
        <w:rPr>
          <w:rFonts w:ascii="David" w:hAnsi="David"/>
          <w:b/>
          <w:bCs/>
          <w:rtl/>
        </w:rPr>
        <w:t>במקרים כאלה תבוא לידי ביטוי המגמה לפיה יש לנקוט בדרך של "פרשנות מקיימת" של הסכמי הממון שלפי </w:t>
      </w:r>
      <w:hyperlink r:id="rId40" w:history="1">
        <w:r>
          <w:rPr>
            <w:rStyle w:val="Hyperlink"/>
            <w:rFonts w:ascii="David" w:hAnsi="David"/>
            <w:b/>
            <w:bCs/>
            <w:rtl/>
          </w:rPr>
          <w:t>חוק יחסי ממון</w:t>
        </w:r>
      </w:hyperlink>
      <w:r>
        <w:rPr>
          <w:rFonts w:ascii="David" w:hAnsi="David"/>
          <w:b/>
          <w:bCs/>
        </w:rPr>
        <w:t xml:space="preserve">, </w:t>
      </w:r>
      <w:r>
        <w:rPr>
          <w:rFonts w:ascii="David" w:hAnsi="David"/>
          <w:b/>
          <w:bCs/>
          <w:rtl/>
        </w:rPr>
        <w:t>שזכו לאישור בית המשפט או בית הדין, ולהימנע ככל הניתן מביטול הסכם ממון או הוראה בו בעילה של סתירה ל</w:t>
      </w:r>
      <w:hyperlink r:id="rId41" w:history="1">
        <w:r>
          <w:rPr>
            <w:rStyle w:val="Hyperlink"/>
            <w:rFonts w:ascii="David" w:hAnsi="David"/>
            <w:b/>
            <w:bCs/>
            <w:rtl/>
          </w:rPr>
          <w:t>חוק הירושה</w:t>
        </w:r>
      </w:hyperlink>
      <w:r>
        <w:rPr>
          <w:rFonts w:ascii="David" w:hAnsi="David"/>
          <w:b/>
          <w:bCs/>
        </w:rPr>
        <w:t>.</w:t>
      </w:r>
      <w:r>
        <w:rPr>
          <w:rFonts w:ascii="David" w:hAnsi="David"/>
          <w:b/>
          <w:bCs/>
          <w:rtl/>
        </w:rPr>
        <w:t>"</w:t>
      </w:r>
    </w:p>
    <w:p w:rsidR="000A4C00" w:rsidRDefault="000A4C00" w:rsidP="000A4C00">
      <w:pPr>
        <w:spacing w:line="360" w:lineRule="atLeast"/>
        <w:jc w:val="both"/>
        <w:rPr>
          <w:rFonts w:ascii="David" w:hAnsi="David"/>
          <w:noProof w:val="0"/>
          <w:color w:val="000000"/>
          <w:rtl/>
        </w:rPr>
      </w:pPr>
    </w:p>
    <w:p w:rsidR="000A4C00" w:rsidRDefault="000A4C00" w:rsidP="000A4C00">
      <w:pPr>
        <w:spacing w:line="360" w:lineRule="atLeast"/>
        <w:jc w:val="both"/>
        <w:rPr>
          <w:rFonts w:ascii="David" w:hAnsi="David"/>
          <w:noProof w:val="0"/>
          <w:color w:val="000000"/>
          <w:rtl/>
        </w:rPr>
      </w:pPr>
      <w:r>
        <w:rPr>
          <w:rFonts w:ascii="David" w:hAnsi="David"/>
          <w:noProof w:val="0"/>
          <w:color w:val="000000"/>
          <w:rtl/>
        </w:rPr>
        <w:t xml:space="preserve">בהעדר כל הוראה רלוונטית, </w:t>
      </w:r>
      <w:proofErr w:type="spellStart"/>
      <w:r>
        <w:rPr>
          <w:rFonts w:ascii="David" w:hAnsi="David"/>
          <w:noProof w:val="0"/>
          <w:color w:val="000000"/>
          <w:rtl/>
        </w:rPr>
        <w:t>שנפקותה</w:t>
      </w:r>
      <w:proofErr w:type="spellEnd"/>
      <w:r>
        <w:rPr>
          <w:rFonts w:ascii="David" w:hAnsi="David"/>
          <w:noProof w:val="0"/>
          <w:color w:val="000000"/>
          <w:rtl/>
        </w:rPr>
        <w:t xml:space="preserve"> לאחר המוות, אין מקום לבחון האם קיימת בעניינו </w:t>
      </w:r>
      <w:proofErr w:type="spellStart"/>
      <w:r>
        <w:rPr>
          <w:rFonts w:ascii="David" w:hAnsi="David"/>
          <w:noProof w:val="0"/>
          <w:color w:val="000000"/>
          <w:rtl/>
        </w:rPr>
        <w:t>אטתה</w:t>
      </w:r>
      <w:proofErr w:type="spellEnd"/>
      <w:r>
        <w:rPr>
          <w:rFonts w:ascii="David" w:hAnsi="David"/>
          <w:noProof w:val="0"/>
          <w:color w:val="000000"/>
          <w:rtl/>
        </w:rPr>
        <w:t xml:space="preserve"> האבחנה, המחייבת בחינה, כפי ההלכה בסוגיה זו, והכל, כאמור, בנוסף לכך ש</w:t>
      </w:r>
      <w:r w:rsidR="00256F0D">
        <w:rPr>
          <w:rFonts w:ascii="David" w:hAnsi="David"/>
          <w:noProof w:val="0"/>
          <w:color w:val="000000"/>
          <w:rtl/>
        </w:rPr>
        <w:t>ב'</w:t>
      </w:r>
      <w:r>
        <w:rPr>
          <w:rFonts w:ascii="David" w:hAnsi="David"/>
          <w:noProof w:val="0"/>
          <w:color w:val="000000"/>
          <w:rtl/>
        </w:rPr>
        <w:t xml:space="preserve"> נעדר יריבות מול התובע.</w:t>
      </w:r>
    </w:p>
    <w:p w:rsidR="000A4C00" w:rsidRDefault="000A4C00" w:rsidP="000A4C00">
      <w:pPr>
        <w:spacing w:line="360" w:lineRule="atLeast"/>
        <w:jc w:val="both"/>
        <w:rPr>
          <w:rFonts w:ascii="David" w:hAnsi="David"/>
          <w:noProof w:val="0"/>
          <w:color w:val="000000"/>
          <w:rtl/>
        </w:rPr>
      </w:pPr>
    </w:p>
    <w:p w:rsidR="000A4C00" w:rsidRDefault="000A4C00" w:rsidP="000A4C00">
      <w:pPr>
        <w:spacing w:line="360" w:lineRule="atLeast"/>
        <w:jc w:val="both"/>
        <w:rPr>
          <w:rFonts w:ascii="David" w:hAnsi="David"/>
          <w:noProof w:val="0"/>
          <w:color w:val="000000"/>
          <w:rtl/>
        </w:rPr>
      </w:pPr>
      <w:r>
        <w:rPr>
          <w:rFonts w:ascii="David" w:hAnsi="David"/>
          <w:noProof w:val="0"/>
          <w:color w:val="000000"/>
          <w:rtl/>
        </w:rPr>
        <w:t xml:space="preserve">כמו כן </w:t>
      </w:r>
      <w:r w:rsidR="00256F0D">
        <w:rPr>
          <w:rFonts w:ascii="David" w:hAnsi="David"/>
          <w:noProof w:val="0"/>
          <w:color w:val="000000"/>
          <w:rtl/>
        </w:rPr>
        <w:t>ב'</w:t>
      </w:r>
      <w:r>
        <w:rPr>
          <w:rFonts w:ascii="David" w:hAnsi="David"/>
          <w:noProof w:val="0"/>
          <w:color w:val="000000"/>
          <w:rtl/>
        </w:rPr>
        <w:t xml:space="preserve"> לא צרף את היורשים של המנוחה לתביעתו, שכן אף אם היה מקום לקבל התביעה בדבר ההפרדה </w:t>
      </w:r>
      <w:proofErr w:type="spellStart"/>
      <w:r>
        <w:rPr>
          <w:rFonts w:ascii="David" w:hAnsi="David"/>
          <w:noProof w:val="0"/>
          <w:color w:val="000000"/>
          <w:rtl/>
        </w:rPr>
        <w:t>הרכושית</w:t>
      </w:r>
      <w:proofErr w:type="spellEnd"/>
      <w:r>
        <w:rPr>
          <w:rFonts w:ascii="David" w:hAnsi="David"/>
          <w:noProof w:val="0"/>
          <w:color w:val="000000"/>
          <w:rtl/>
        </w:rPr>
        <w:t xml:space="preserve"> החלה לאחר מות המנוחה, היריבות היא אל מול יורשי המנוחה, או למצער, בכל הנוגע לנכס, מול מי שהגדרתו קבועה בהסכם המשבצת.</w:t>
      </w:r>
    </w:p>
    <w:p w:rsidR="000A4C00" w:rsidRDefault="000A4C00" w:rsidP="000A4C00">
      <w:pPr>
        <w:spacing w:line="360" w:lineRule="atLeast"/>
        <w:jc w:val="both"/>
        <w:rPr>
          <w:rFonts w:ascii="David" w:hAnsi="David"/>
          <w:rtl/>
        </w:rPr>
      </w:pPr>
    </w:p>
    <w:p w:rsidR="000A4C00" w:rsidRDefault="000A4C00" w:rsidP="000A4C00">
      <w:pPr>
        <w:rPr>
          <w:rFonts w:ascii="David" w:hAnsi="David"/>
          <w:rtl/>
        </w:rPr>
      </w:pPr>
    </w:p>
    <w:p w:rsidR="00C42175" w:rsidRDefault="00C42175" w:rsidP="000A4C00">
      <w:pPr>
        <w:rPr>
          <w:rFonts w:ascii="David" w:hAnsi="David"/>
          <w:rtl/>
        </w:rPr>
      </w:pPr>
    </w:p>
    <w:p w:rsidR="00C42175" w:rsidRDefault="00C42175" w:rsidP="000A4C00">
      <w:pPr>
        <w:rPr>
          <w:rFonts w:ascii="David" w:hAnsi="David"/>
          <w:rtl/>
        </w:rPr>
      </w:pPr>
    </w:p>
    <w:p w:rsidR="00C42175" w:rsidRDefault="00C42175" w:rsidP="000A4C00">
      <w:pPr>
        <w:rPr>
          <w:rFonts w:ascii="David" w:hAnsi="David"/>
          <w:rtl/>
        </w:rPr>
      </w:pPr>
    </w:p>
    <w:p w:rsidR="00C42175" w:rsidRDefault="00C42175" w:rsidP="000A4C00">
      <w:pPr>
        <w:rPr>
          <w:rFonts w:ascii="David" w:hAnsi="David"/>
          <w:rtl/>
        </w:rPr>
      </w:pPr>
    </w:p>
    <w:p w:rsidR="000A4C00" w:rsidRDefault="000A4C00" w:rsidP="000A4C00">
      <w:pPr>
        <w:rPr>
          <w:b/>
          <w:bCs/>
          <w:u w:val="single"/>
          <w:rtl/>
        </w:rPr>
      </w:pPr>
      <w:r>
        <w:rPr>
          <w:b/>
          <w:bCs/>
          <w:u w:val="single"/>
          <w:rtl/>
        </w:rPr>
        <w:lastRenderedPageBreak/>
        <w:t>20. תום לב</w:t>
      </w:r>
    </w:p>
    <w:p w:rsidR="000A4C00" w:rsidRDefault="000A4C00" w:rsidP="000A4C00">
      <w:pPr>
        <w:rPr>
          <w:rtl/>
        </w:rPr>
      </w:pPr>
    </w:p>
    <w:p w:rsidR="000A4C00" w:rsidRDefault="000A4C00" w:rsidP="000A4C00">
      <w:pPr>
        <w:rPr>
          <w:rtl/>
        </w:rPr>
      </w:pPr>
    </w:p>
    <w:p w:rsidR="000A4C00" w:rsidRDefault="000A4C00" w:rsidP="000A4C00">
      <w:pPr>
        <w:spacing w:line="360" w:lineRule="auto"/>
        <w:jc w:val="both"/>
        <w:rPr>
          <w:rtl/>
        </w:rPr>
      </w:pPr>
      <w:r>
        <w:rPr>
          <w:rtl/>
        </w:rPr>
        <w:t>כאמור לבית המשפט סמכות רחבה לסילוק על הסף, בכל מקום ש"ראוי ונכון" למחוק או לדחות התובענה.</w:t>
      </w:r>
    </w:p>
    <w:p w:rsidR="000A4C00" w:rsidRDefault="000A4C00" w:rsidP="000A4C00">
      <w:pPr>
        <w:spacing w:line="360" w:lineRule="auto"/>
        <w:jc w:val="both"/>
        <w:rPr>
          <w:rtl/>
        </w:rPr>
      </w:pPr>
    </w:p>
    <w:p w:rsidR="000A4C00" w:rsidRDefault="000A4C00" w:rsidP="000A4C00">
      <w:pPr>
        <w:spacing w:line="360" w:lineRule="auto"/>
        <w:jc w:val="both"/>
        <w:rPr>
          <w:rtl/>
        </w:rPr>
      </w:pPr>
      <w:r>
        <w:rPr>
          <w:rtl/>
        </w:rPr>
        <w:t>באת כוח התובע פנתה, בשנת 2014 לרשות מקרקעי ישראל, כאשר באמתחה יפוי כוח בלבד, מאת התובע ובקשה לעדכן או לשנות את הרישומים, בהינתן כי שמו של התובע ושמו של המנוח זהים הם, כך שיצויין מספר זהותו של התובע, ברישומים.</w:t>
      </w:r>
    </w:p>
    <w:p w:rsidR="000A4C00" w:rsidRDefault="000A4C00" w:rsidP="000A4C00">
      <w:pPr>
        <w:spacing w:line="360" w:lineRule="auto"/>
        <w:jc w:val="both"/>
        <w:rPr>
          <w:rtl/>
        </w:rPr>
      </w:pPr>
    </w:p>
    <w:p w:rsidR="000A4C00" w:rsidRDefault="000A4C00" w:rsidP="000A4C00">
      <w:pPr>
        <w:spacing w:line="360" w:lineRule="auto"/>
        <w:jc w:val="both"/>
        <w:rPr>
          <w:rtl/>
        </w:rPr>
      </w:pPr>
      <w:r>
        <w:rPr>
          <w:rtl/>
        </w:rPr>
        <w:t>הנציגה של רמ"י נשאלה באשר למסמכים המצויים בתיק רמ"י, בכל הנוגע לשינוי הרישום ונמסר כי הוגש אך יפוי כוח.</w:t>
      </w:r>
    </w:p>
    <w:p w:rsidR="000A4C00" w:rsidRDefault="000A4C00" w:rsidP="000A4C00">
      <w:pPr>
        <w:rPr>
          <w:rtl/>
        </w:rPr>
      </w:pPr>
    </w:p>
    <w:p w:rsidR="000A4C00" w:rsidRDefault="000A4C00" w:rsidP="0057693C">
      <w:pPr>
        <w:spacing w:line="360" w:lineRule="auto"/>
        <w:jc w:val="both"/>
        <w:rPr>
          <w:rtl/>
        </w:rPr>
      </w:pPr>
      <w:r>
        <w:rPr>
          <w:rtl/>
        </w:rPr>
        <w:t xml:space="preserve">בדיון מיום </w:t>
      </w:r>
      <w:r w:rsidR="0057693C">
        <w:rPr>
          <w:rFonts w:hint="cs"/>
          <w:rtl/>
        </w:rPr>
        <w:t>00</w:t>
      </w:r>
      <w:r>
        <w:rPr>
          <w:rtl/>
        </w:rPr>
        <w:t>.</w:t>
      </w:r>
      <w:r w:rsidR="0057693C">
        <w:rPr>
          <w:rFonts w:hint="cs"/>
          <w:rtl/>
        </w:rPr>
        <w:t>00</w:t>
      </w:r>
      <w:r>
        <w:rPr>
          <w:rtl/>
        </w:rPr>
        <w:t xml:space="preserve">.24, ב"כ התובע נתבקש להשיב מדוע לא יוגש תצהיר מטעמה של עו"ד </w:t>
      </w:r>
      <w:r w:rsidR="0057693C">
        <w:rPr>
          <w:rFonts w:hint="cs"/>
          <w:rtl/>
        </w:rPr>
        <w:t>ז'</w:t>
      </w:r>
      <w:r>
        <w:rPr>
          <w:rtl/>
        </w:rPr>
        <w:t xml:space="preserve">, העובדת (או שעבדה) במשרדו וייצגה את התובע באותו הליך מול רמ"י וזה השיב: </w:t>
      </w:r>
      <w:r>
        <w:rPr>
          <w:b/>
          <w:bCs/>
          <w:rtl/>
        </w:rPr>
        <w:t xml:space="preserve">" לשאלת בית המשפט האם עו"ד </w:t>
      </w:r>
      <w:r w:rsidR="0057693C">
        <w:rPr>
          <w:rFonts w:hint="cs"/>
          <w:b/>
          <w:bCs/>
          <w:rtl/>
        </w:rPr>
        <w:t>ז'</w:t>
      </w:r>
      <w:r>
        <w:rPr>
          <w:b/>
          <w:bCs/>
          <w:rtl/>
        </w:rPr>
        <w:t xml:space="preserve"> יכולה לתת תצהיר, אני משיב שמכיוון שהתובע מתנגד להסרת חיסיון עורך דין- לקוח היא לא תיתן תצהיר וגם אין מקום שתיתן תצהיר מכיוון שנטל הראיה לא מוטל על התובע אלא על הנתבעת."</w:t>
      </w:r>
    </w:p>
    <w:p w:rsidR="000A4C00" w:rsidRDefault="000A4C00" w:rsidP="000A4C00">
      <w:pPr>
        <w:spacing w:line="360" w:lineRule="auto"/>
        <w:jc w:val="both"/>
        <w:rPr>
          <w:rtl/>
        </w:rPr>
      </w:pPr>
    </w:p>
    <w:p w:rsidR="000A4C00" w:rsidRDefault="000A4C00" w:rsidP="000A4C00">
      <w:pPr>
        <w:spacing w:line="360" w:lineRule="auto"/>
        <w:jc w:val="both"/>
        <w:rPr>
          <w:rtl/>
        </w:rPr>
      </w:pPr>
      <w:r>
        <w:rPr>
          <w:rtl/>
        </w:rPr>
        <w:t>בעניין זה הוסיפה באת כח רמ"י, עו"ד חדד לנקרי:</w:t>
      </w:r>
    </w:p>
    <w:p w:rsidR="000A4C00" w:rsidRDefault="000A4C00" w:rsidP="000A4C00">
      <w:pPr>
        <w:jc w:val="both"/>
        <w:rPr>
          <w:b/>
          <w:bCs/>
          <w:rtl/>
        </w:rPr>
      </w:pPr>
      <w:r>
        <w:rPr>
          <w:b/>
          <w:bCs/>
          <w:rtl/>
        </w:rPr>
        <w:t>"בסופו של דבר המסמכים מדברים בעד עצמם ויש יפוי כח שהוגש.</w:t>
      </w:r>
    </w:p>
    <w:p w:rsidR="000A4C00" w:rsidRDefault="000A4C00" w:rsidP="0057693C">
      <w:pPr>
        <w:jc w:val="both"/>
        <w:rPr>
          <w:rtl/>
        </w:rPr>
      </w:pPr>
      <w:r>
        <w:rPr>
          <w:b/>
          <w:bCs/>
          <w:rtl/>
        </w:rPr>
        <w:t xml:space="preserve">גב' </w:t>
      </w:r>
      <w:r w:rsidR="0057693C">
        <w:rPr>
          <w:rFonts w:hint="cs"/>
          <w:b/>
          <w:bCs/>
          <w:rtl/>
        </w:rPr>
        <w:t>ט' ח'</w:t>
      </w:r>
      <w:r>
        <w:rPr>
          <w:b/>
          <w:bCs/>
          <w:rtl/>
        </w:rPr>
        <w:t xml:space="preserve"> תיעדה את מה שהיה מיום 9.6.2014, יש הערה זה סוג של תרשומת פנימית, כתוב שם כהערת מערכת ב 9.6.2014 "טעות בתעודת זהות, הוצג יפוי כח על אותו שם, כשם בר הרשות". ואז כתוב "ביקשתי </w:t>
      </w:r>
      <w:r w:rsidR="0057693C">
        <w:rPr>
          <w:rFonts w:hint="cs"/>
          <w:b/>
          <w:bCs/>
          <w:rtl/>
        </w:rPr>
        <w:t>מק'</w:t>
      </w:r>
      <w:r>
        <w:rPr>
          <w:b/>
          <w:bCs/>
          <w:rtl/>
        </w:rPr>
        <w:t xml:space="preserve"> להמציא צו ירושה, לצורך מתן מידע למיפה הכח". זאת אומרת כבר חודש אחרי שהוצא אישור זכויות שגוי נאמר לבא כח התובע דאז שזה שגוי. "</w:t>
      </w:r>
    </w:p>
    <w:p w:rsidR="000A4C00" w:rsidRDefault="000A4C00" w:rsidP="000A4C00">
      <w:pPr>
        <w:spacing w:line="360" w:lineRule="auto"/>
        <w:jc w:val="both"/>
        <w:rPr>
          <w:rtl/>
        </w:rPr>
      </w:pPr>
    </w:p>
    <w:p w:rsidR="000A4C00" w:rsidRDefault="000A4C00" w:rsidP="000A4C00">
      <w:pPr>
        <w:spacing w:line="360" w:lineRule="auto"/>
        <w:jc w:val="both"/>
        <w:rPr>
          <w:rtl/>
        </w:rPr>
      </w:pPr>
      <w:r>
        <w:rPr>
          <w:rtl/>
        </w:rPr>
        <w:t>כשנתבקש מספר פעמים, ב"כ התובע, להשיב בכל הנוגע לזכויות המהותיות של התובע, כטענתו, ולבטח במועד רישומם ברמ"י, חזר וטען כי אין זו מחובתו להוכיח זאת ועת נדרש להשיב ולהציג בנוגע למסמכים (לגביהם טען בתביעתו) חזר וטען כי אין לחייבו להוכיח זכויות אלו ובסופו של דבר טען:</w:t>
      </w:r>
    </w:p>
    <w:p w:rsidR="000A4C00" w:rsidRDefault="000A4C00" w:rsidP="000A4C00">
      <w:pPr>
        <w:jc w:val="both"/>
        <w:rPr>
          <w:b/>
          <w:bCs/>
          <w:rtl/>
        </w:rPr>
      </w:pPr>
      <w:r>
        <w:rPr>
          <w:b/>
          <w:bCs/>
          <w:rtl/>
        </w:rPr>
        <w:t xml:space="preserve">"לשאלת בית המשפט אין צו לקיום צוואה בעניינו של מר </w:t>
      </w:r>
      <w:r w:rsidR="00256F0D">
        <w:rPr>
          <w:b/>
          <w:bCs/>
          <w:rtl/>
        </w:rPr>
        <w:t>ב'</w:t>
      </w:r>
      <w:r>
        <w:rPr>
          <w:b/>
          <w:bCs/>
          <w:rtl/>
        </w:rPr>
        <w:t>, יש צו ירושה, והסכם לחלוקת עזבון, מה שצרפתי לכתב התביעה קיים, מה שצורף איננו כי איננו ברשותי. זאת אומרת שהסכם חלוקת עזבון לא ברשותי. צוואה לא ברשותי, כתבי הסתלקות לא ברשותי. לא צריך הם לא ברשותי כי הם לא צריכים להיות ברשותי. אני לא יכול להשיג אותם ואני לא מתכוון להשיג אותם כי זה לא רלוונטי.</w:t>
      </w:r>
    </w:p>
    <w:p w:rsidR="000A4C00" w:rsidRDefault="000A4C00" w:rsidP="000A4C00">
      <w:pPr>
        <w:spacing w:line="360" w:lineRule="auto"/>
        <w:jc w:val="both"/>
        <w:rPr>
          <w:b/>
          <w:bCs/>
          <w:rtl/>
        </w:rPr>
      </w:pPr>
      <w:r>
        <w:rPr>
          <w:b/>
          <w:bCs/>
          <w:rtl/>
        </w:rPr>
        <w:t xml:space="preserve">אני אשתדל בפרק זמן של 30 ימים להשיג אותם, ככל שבית המשפט יורה."  </w:t>
      </w:r>
    </w:p>
    <w:p w:rsidR="000A4C00" w:rsidRDefault="000A4C00" w:rsidP="000A4C00">
      <w:pPr>
        <w:spacing w:line="360" w:lineRule="auto"/>
        <w:jc w:val="both"/>
        <w:rPr>
          <w:rtl/>
        </w:rPr>
      </w:pPr>
    </w:p>
    <w:p w:rsidR="000A4C00" w:rsidRDefault="000A4C00" w:rsidP="000A4C00">
      <w:pPr>
        <w:spacing w:line="360" w:lineRule="auto"/>
        <w:jc w:val="both"/>
        <w:rPr>
          <w:rtl/>
        </w:rPr>
      </w:pPr>
      <w:r>
        <w:rPr>
          <w:rtl/>
        </w:rPr>
        <w:t xml:space="preserve">לאחר ששמעתי את באי כוח הצדדים ולאחר שבחנתי את כלל המסמכים שבפני ונתתי דעתי על אלו שאינם בפני, עת התובע מבקש להאחז באישור הזכויות שהופק על ידי רמ"י, בשוגג, אישור שניתן ללא </w:t>
      </w:r>
      <w:r>
        <w:rPr>
          <w:rtl/>
        </w:rPr>
        <w:lastRenderedPageBreak/>
        <w:t>כל הצגת מסמכים המעידים על זכותו, למעט שם זהה לשמו של המנוח – מצאתי כי אכן התביעה הוגשה בחוסר תום לב משמעותי.</w:t>
      </w:r>
    </w:p>
    <w:p w:rsidR="000A4C00" w:rsidRDefault="000A4C00" w:rsidP="000A4C00">
      <w:pPr>
        <w:spacing w:line="360" w:lineRule="auto"/>
        <w:jc w:val="both"/>
        <w:rPr>
          <w:rtl/>
        </w:rPr>
      </w:pPr>
    </w:p>
    <w:p w:rsidR="000A4C00" w:rsidRDefault="000A4C00" w:rsidP="000A4C00">
      <w:pPr>
        <w:spacing w:line="360" w:lineRule="auto"/>
        <w:jc w:val="both"/>
        <w:rPr>
          <w:rtl/>
        </w:rPr>
      </w:pPr>
      <w:r>
        <w:rPr>
          <w:rtl/>
        </w:rPr>
        <w:t>התובע מבקש להבנות ולזכות בזכויות לא לו, מכוח פעולה של רמ"י, אותה נקטה, לגרסת התובע, לכל היותר על בסיס צוואה וכתבי הסתלקות. זאת, כאשר היה מקום להציג, למצער, צו לקיומה של צוואה, אף מבלי לתהות בנוגע להסכם המשבצת אשר קובע מפורשות שאין בצוואת חבר אגודה כדי לגבור על הוראות ההסכם, ועת במועד עריכת הצוואה, הלכאורית (שלא הוצגה), המנוחה היתה בת זוגו של המנוח ובחיים.</w:t>
      </w:r>
    </w:p>
    <w:p w:rsidR="000A4C00" w:rsidRDefault="000A4C00" w:rsidP="000A4C00">
      <w:pPr>
        <w:spacing w:line="360" w:lineRule="auto"/>
        <w:jc w:val="both"/>
        <w:rPr>
          <w:rtl/>
        </w:rPr>
      </w:pPr>
    </w:p>
    <w:p w:rsidR="000A4C00" w:rsidRDefault="000A4C00" w:rsidP="000A4C00">
      <w:pPr>
        <w:spacing w:line="360" w:lineRule="auto"/>
        <w:jc w:val="both"/>
        <w:rPr>
          <w:u w:val="single"/>
          <w:rtl/>
        </w:rPr>
      </w:pPr>
      <w:r>
        <w:rPr>
          <w:u w:val="single"/>
          <w:rtl/>
        </w:rPr>
        <w:t>גם מטעם זה מצאתי כי יש הצדק לסלק תביעתו של התובע על הסף.</w:t>
      </w:r>
    </w:p>
    <w:p w:rsidR="000A4C00" w:rsidRDefault="000A4C00" w:rsidP="000A4C00">
      <w:pPr>
        <w:spacing w:line="360" w:lineRule="auto"/>
        <w:jc w:val="both"/>
        <w:rPr>
          <w:rtl/>
        </w:rPr>
      </w:pPr>
    </w:p>
    <w:p w:rsidR="00C42175" w:rsidRDefault="00C42175" w:rsidP="000A4C00">
      <w:pPr>
        <w:spacing w:line="360" w:lineRule="auto"/>
        <w:jc w:val="both"/>
        <w:rPr>
          <w:u w:val="single"/>
          <w:rtl/>
        </w:rPr>
      </w:pPr>
    </w:p>
    <w:p w:rsidR="000A4C00" w:rsidRPr="00C42175" w:rsidRDefault="00C42175" w:rsidP="000A4C00">
      <w:pPr>
        <w:spacing w:line="360" w:lineRule="auto"/>
        <w:jc w:val="both"/>
        <w:rPr>
          <w:b/>
          <w:bCs/>
          <w:u w:val="single"/>
          <w:rtl/>
        </w:rPr>
      </w:pPr>
      <w:r w:rsidRPr="00C42175">
        <w:rPr>
          <w:rFonts w:hint="cs"/>
          <w:b/>
          <w:bCs/>
          <w:u w:val="single"/>
          <w:rtl/>
        </w:rPr>
        <w:t xml:space="preserve">21. </w:t>
      </w:r>
      <w:r w:rsidR="000A4C00" w:rsidRPr="00C42175">
        <w:rPr>
          <w:b/>
          <w:bCs/>
          <w:u w:val="single"/>
          <w:rtl/>
        </w:rPr>
        <w:t>סוף דבר אני מורה על דחיית תביעתו של התובע, על הסף.</w:t>
      </w:r>
    </w:p>
    <w:p w:rsidR="000A4C00" w:rsidRPr="00C42175" w:rsidRDefault="000A4C00" w:rsidP="000A4C00">
      <w:pPr>
        <w:spacing w:line="360" w:lineRule="auto"/>
        <w:jc w:val="both"/>
        <w:rPr>
          <w:b/>
          <w:bCs/>
          <w:u w:val="single"/>
          <w:rtl/>
        </w:rPr>
      </w:pPr>
      <w:r w:rsidRPr="00C42175">
        <w:rPr>
          <w:b/>
          <w:bCs/>
          <w:u w:val="single"/>
          <w:rtl/>
        </w:rPr>
        <w:t>נוכח האמור – החלטה זו תהווה פסק דין בתובענה.</w:t>
      </w:r>
    </w:p>
    <w:p w:rsidR="000A4C00" w:rsidRPr="00C42175" w:rsidRDefault="000A4C00" w:rsidP="000A4C00">
      <w:pPr>
        <w:spacing w:line="360" w:lineRule="auto"/>
        <w:jc w:val="both"/>
        <w:rPr>
          <w:b/>
          <w:bCs/>
          <w:u w:val="single"/>
          <w:rtl/>
        </w:rPr>
      </w:pPr>
      <w:r w:rsidRPr="00C42175">
        <w:rPr>
          <w:b/>
          <w:bCs/>
          <w:u w:val="single"/>
          <w:rtl/>
        </w:rPr>
        <w:t>התיק יסגר.</w:t>
      </w:r>
    </w:p>
    <w:p w:rsidR="000A4C00" w:rsidRDefault="000A4C00" w:rsidP="000A4C00">
      <w:pPr>
        <w:spacing w:line="360" w:lineRule="auto"/>
        <w:jc w:val="both"/>
        <w:rPr>
          <w:rtl/>
        </w:rPr>
      </w:pPr>
    </w:p>
    <w:p w:rsidR="000A4C00" w:rsidRDefault="000A4C00" w:rsidP="00256F0D">
      <w:pPr>
        <w:spacing w:line="360" w:lineRule="auto"/>
        <w:jc w:val="both"/>
        <w:rPr>
          <w:rtl/>
        </w:rPr>
      </w:pPr>
      <w:r>
        <w:rPr>
          <w:rtl/>
        </w:rPr>
        <w:t xml:space="preserve">בנסיבות העניין אני מחייבת התבוע לשלם הוצאות לנתבע </w:t>
      </w:r>
      <w:r w:rsidR="00C42175">
        <w:rPr>
          <w:rFonts w:hint="cs"/>
          <w:rtl/>
        </w:rPr>
        <w:t xml:space="preserve">1, </w:t>
      </w:r>
      <w:r w:rsidR="00256F0D">
        <w:rPr>
          <w:rFonts w:hint="cs"/>
          <w:rtl/>
        </w:rPr>
        <w:t xml:space="preserve"> מר א</w:t>
      </w:r>
      <w:r w:rsidR="00256F0D">
        <w:rPr>
          <w:rtl/>
        </w:rPr>
        <w:t>'</w:t>
      </w:r>
      <w:r w:rsidR="00C42175">
        <w:rPr>
          <w:rFonts w:hint="cs"/>
          <w:rtl/>
        </w:rPr>
        <w:t xml:space="preserve">, </w:t>
      </w:r>
      <w:r>
        <w:rPr>
          <w:rtl/>
        </w:rPr>
        <w:t>בסך 20,000 ₪.</w:t>
      </w:r>
    </w:p>
    <w:p w:rsidR="000A4C00" w:rsidRDefault="000A4C00" w:rsidP="00C42175">
      <w:pPr>
        <w:spacing w:line="360" w:lineRule="auto"/>
        <w:jc w:val="both"/>
        <w:rPr>
          <w:rtl/>
        </w:rPr>
      </w:pPr>
      <w:r>
        <w:rPr>
          <w:rtl/>
        </w:rPr>
        <w:t xml:space="preserve">אני מחייבת את התבוע לשלם הוצאות </w:t>
      </w:r>
      <w:r w:rsidR="00C42175">
        <w:rPr>
          <w:rFonts w:hint="cs"/>
          <w:rtl/>
        </w:rPr>
        <w:t xml:space="preserve">לנתבעת 2, </w:t>
      </w:r>
      <w:r>
        <w:rPr>
          <w:rtl/>
        </w:rPr>
        <w:t>רמ"י, בסך 10,000 ₪.</w:t>
      </w:r>
    </w:p>
    <w:p w:rsidR="000A4C00" w:rsidRDefault="000A4C00" w:rsidP="000A4C00">
      <w:pPr>
        <w:spacing w:line="360" w:lineRule="auto"/>
        <w:jc w:val="both"/>
        <w:rPr>
          <w:rtl/>
        </w:rPr>
      </w:pPr>
      <w:r>
        <w:rPr>
          <w:rtl/>
        </w:rPr>
        <w:t>אני מחייבת את התובע לשלם הוצאות ל</w:t>
      </w:r>
      <w:r w:rsidR="005953EC">
        <w:rPr>
          <w:rFonts w:hint="cs"/>
          <w:rtl/>
        </w:rPr>
        <w:t>נתבעת 3, ה</w:t>
      </w:r>
      <w:r>
        <w:rPr>
          <w:rtl/>
        </w:rPr>
        <w:t>סוכנות בסך 5,000 ₪.</w:t>
      </w:r>
    </w:p>
    <w:p w:rsidR="000A4C00" w:rsidRDefault="000A4C00" w:rsidP="000A4C00">
      <w:pPr>
        <w:spacing w:line="360" w:lineRule="auto"/>
        <w:jc w:val="both"/>
        <w:rPr>
          <w:rtl/>
        </w:rPr>
      </w:pPr>
    </w:p>
    <w:p w:rsidR="000A4C00" w:rsidRDefault="000A4C00" w:rsidP="000A4C00">
      <w:pPr>
        <w:spacing w:line="360" w:lineRule="auto"/>
        <w:jc w:val="both"/>
        <w:rPr>
          <w:b/>
          <w:bCs/>
          <w:rtl/>
        </w:rPr>
      </w:pPr>
      <w:r>
        <w:rPr>
          <w:b/>
          <w:bCs/>
          <w:rtl/>
        </w:rPr>
        <w:t>מתירה פרסום ההחלטה, ללא פרטים מזהים של הצדדים, ובהתאם לנהלים.</w:t>
      </w:r>
    </w:p>
    <w:p w:rsidR="000A4C00" w:rsidRDefault="000A4C00" w:rsidP="000A4C00">
      <w:pPr>
        <w:spacing w:line="360" w:lineRule="auto"/>
        <w:jc w:val="both"/>
        <w:rPr>
          <w:u w:val="single"/>
          <w:rtl/>
        </w:rPr>
      </w:pPr>
    </w:p>
    <w:p w:rsidR="000A4C00" w:rsidRDefault="000A4C00" w:rsidP="000A4C00">
      <w:pPr>
        <w:bidi w:val="0"/>
        <w:spacing w:after="160" w:line="256" w:lineRule="auto"/>
      </w:pPr>
      <w:r>
        <w:rPr>
          <w:rtl/>
        </w:rPr>
        <w:br w:type="page"/>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12 נובמבר 2024</w:t>
          </w:r>
        </w:sdtContent>
      </w:sdt>
      <w:r w:rsidR="00005C8B">
        <w:rPr>
          <w:rFonts w:ascii="Arial" w:hAnsi="Arial"/>
          <w:noProof w:val="0"/>
          <w:rtl/>
        </w:rPr>
        <w:t>, בהעדר הצדדים.</w:t>
      </w:r>
    </w:p>
    <w:p w:rsidR="00C43648" w:rsidRDefault="007F6E3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24859681"/>
        </w:sdtPr>
        <w:sdtEndPr/>
        <w:sdtContent>
          <w:r w:rsidR="00B97306">
            <w:drawing>
              <wp:inline distT="0" distB="0" distL="0" distR="0" wp14:editId="50D07946">
                <wp:extent cx="140017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42" cstate="print">
                          <a:extLst/>
                        </a:blip>
                        <a:stretch>
                          <a:fillRect/>
                        </a:stretch>
                      </pic:blipFill>
                      <pic:spPr>
                        <a:xfrm>
                          <a:off x="0" y="0"/>
                          <a:ext cx="1400175" cy="819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43"/>
      <w:footerReference w:type="default" r:id="rId4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6E3D" w:rsidRDefault="007F6E3D">
      <w:r>
        <w:separator/>
      </w:r>
    </w:p>
  </w:endnote>
  <w:endnote w:type="continuationSeparator" w:id="0">
    <w:p w:rsidR="007F6E3D" w:rsidRDefault="007F6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511D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511D6">
      <w:rPr>
        <w:rStyle w:val="ab"/>
        <w:rtl/>
      </w:rPr>
      <w:t>16</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6E3D" w:rsidRDefault="007F6E3D">
      <w:r>
        <w:separator/>
      </w:r>
    </w:p>
  </w:footnote>
  <w:footnote w:type="continuationSeparator" w:id="0">
    <w:p w:rsidR="007F6E3D" w:rsidRDefault="007F6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7F6E3D" w:rsidP="00256F0D">
          <w:pPr>
            <w:rPr>
              <w:b/>
              <w:bCs/>
              <w:noProof w:val="0"/>
              <w:sz w:val="26"/>
              <w:szCs w:val="26"/>
              <w:rtl/>
            </w:rPr>
          </w:pPr>
          <w:sdt>
            <w:sdtPr>
              <w:rPr>
                <w:rtl/>
              </w:rPr>
              <w:alias w:val="1170"/>
              <w:tag w:val="1170"/>
              <w:id w:val="1066377040"/>
              <w:text w:multiLine="1"/>
            </w:sdtPr>
            <w:sdtEndPr/>
            <w:sdtContent>
              <w:proofErr w:type="spellStart"/>
              <w:r w:rsidR="00064651">
                <w:rPr>
                  <w:b/>
                  <w:bCs/>
                  <w:noProof w:val="0"/>
                  <w:sz w:val="26"/>
                  <w:szCs w:val="26"/>
                  <w:rtl/>
                </w:rPr>
                <w:t>תמ"ש</w:t>
              </w:r>
              <w:proofErr w:type="spellEnd"/>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6520-05-23</w:t>
              </w:r>
            </w:sdtContent>
          </w:sdt>
          <w:r w:rsidR="00005C8B">
            <w:rPr>
              <w:b/>
              <w:bCs/>
              <w:noProof w:val="0"/>
              <w:sz w:val="26"/>
              <w:szCs w:val="26"/>
              <w:rtl/>
            </w:rPr>
            <w:t xml:space="preserve"> </w:t>
          </w:r>
          <w:sdt>
            <w:sdtPr>
              <w:rPr>
                <w:rtl/>
              </w:rPr>
              <w:alias w:val="1172"/>
              <w:tag w:val="1172"/>
              <w:id w:val="-595170033"/>
              <w:text w:multiLine="1"/>
            </w:sdtPr>
            <w:sdtEndPr/>
            <w:sdtContent>
              <w:r w:rsidR="00256F0D">
                <w:rPr>
                  <w:rFonts w:hint="cs"/>
                  <w:b/>
                  <w:bCs/>
                  <w:noProof w:val="0"/>
                  <w:sz w:val="26"/>
                  <w:szCs w:val="26"/>
                  <w:rtl/>
                </w:rPr>
                <w:t>ב'</w:t>
              </w:r>
              <w:r w:rsidR="00064651">
                <w:rPr>
                  <w:b/>
                  <w:bCs/>
                  <w:noProof w:val="0"/>
                  <w:sz w:val="26"/>
                  <w:szCs w:val="26"/>
                  <w:rtl/>
                </w:rPr>
                <w:t xml:space="preserve"> נ' </w:t>
              </w:r>
              <w:r w:rsidR="00256F0D">
                <w:rPr>
                  <w:rFonts w:hint="cs"/>
                  <w:b/>
                  <w:bCs/>
                  <w:noProof w:val="0"/>
                  <w:sz w:val="26"/>
                  <w:szCs w:val="26"/>
                  <w:rtl/>
                </w:rPr>
                <w:t>א'</w:t>
              </w:r>
              <w:r w:rsidR="00064651">
                <w:rPr>
                  <w:b/>
                  <w:bCs/>
                  <w:noProof w:val="0"/>
                  <w:sz w:val="26"/>
                  <w:szCs w:val="26"/>
                  <w:rtl/>
                </w:rPr>
                <w:t xml:space="preserve">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1467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214678&amp;lt;/CaseID&amp;gt;_x000d__x000a_        &amp;lt;CaseMonth&amp;gt;5&amp;lt;/CaseMonth&amp;gt;_x000d__x000a_        &amp;lt;CaseYear&amp;gt;2023&amp;lt;/CaseYear&amp;gt;_x000d__x000a_        &amp;lt;CaseNumber&amp;gt;6520&amp;lt;/CaseNumber&amp;gt;_x000d__x000a_        &amp;lt;NumeratorGroupID&amp;gt;1&amp;lt;/NumeratorGroupID&amp;gt;_x000d__x000a_        &amp;lt;CaseName&amp;gt;בוכריס נ&amp;#39; אטיה ואח&amp;#39;&amp;lt;/CaseName&amp;gt;_x000d__x000a_        &amp;lt;CourtID&amp;gt;41&amp;lt;/CourtID&amp;gt;_x000d__x000a_        &amp;lt;CaseTypeID&amp;gt;15&amp;lt;/CaseTypeID&amp;gt;_x000d__x000a_        &amp;lt;CaseInterestID&amp;gt;158&amp;lt;/CaseInterestID&amp;gt;_x000d__x000a_        &amp;lt;CaseJudgeName&amp;gt;דיאנה פסו-ואג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520-05-23&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11-06T10:00:00+02:00&amp;lt;/CasePreviousSessionDate&amp;gt;_x000d__x000a_        &amp;lt;CaseNextDeterminingTask&amp;gt;141&amp;lt;/CaseNextDeterminingTask&amp;gt;_x000d__x000a_        &amp;lt;TemporaryAidStatus /&amp;gt;_x000d__x000a_        &amp;lt;CaseOpenDate&amp;gt;2023-05-03T07:00: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וגש עותק מדוגל של כתב התביעה , עלה לשופט אריאל ממן. תמר&amp;lt;/CaseDesc&amp;gt;_x000d__x000a_        &amp;lt;isExistMinorSide&amp;gt;false&amp;lt;/isExistMinorSide&amp;gt;_x000d__x000a_        &amp;lt;isExistMinorWitness&amp;gt;false&amp;lt;/isExistMinorWitness&amp;gt;_x000d__x000a_        &amp;lt;CasePreviousSessionTypeID&amp;gt;1&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214678&amp;lt;/CaseID&amp;gt;_x000d__x000a_        &amp;lt;CaseMonth&amp;gt;5&amp;lt;/CaseMonth&amp;gt;_x000d__x000a_        &amp;lt;CaseYear&amp;gt;2023&amp;lt;/CaseYear&amp;gt;_x000d__x000a_        &amp;lt;CaseNumber&amp;gt;6520&amp;lt;/CaseNumber&amp;gt;_x000d__x000a_        &amp;lt;NumeratorGroupID&amp;gt;1&amp;lt;/NumeratorGroupID&amp;gt;_x000d__x000a_        &amp;lt;CaseName&amp;gt;בוכריס נ&amp;#39; אטיה ואח&amp;#39;&amp;lt;/CaseName&amp;gt;_x000d__x000a_        &amp;lt;CourtID&amp;gt;41&amp;lt;/CourtID&amp;gt;_x000d__x000a_        &amp;lt;CaseTypeID&amp;gt;15&amp;lt;/CaseTypeID&amp;gt;_x000d__x000a_        &amp;lt;CaseInterestID&amp;gt;158&amp;lt;/CaseInterestID&amp;gt;_x000d__x000a_        &amp;lt;CaseJudgeName&amp;gt;דיאנה פסו-ואג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520-05-23&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CaseNextDeterminingTask&amp;gt;141&amp;lt;/CaseNextDeterminingTask&amp;gt;_x000d__x000a_        &amp;lt;CaseOpenDate&amp;gt;2023-05-03T07:00: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וגש עותק מדוגל של כתב התביעה , עלה לשופט אריאל ממן. תמר&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1-12T08:59:07.8780898+02:00&amp;lt;/DecisionStatusChangeDate&amp;gt;_x000d__x000a_        &amp;lt;DecisionSignatureDate&amp;gt;2024-11-12T08:59:07.8780898+02:00&amp;lt;/DecisionSignatureDate&amp;gt;_x000d__x000a_        &amp;lt;DecisionSignatureUserID&amp;gt;033828203@GOV.IL&amp;lt;/DecisionSignatureUserID&amp;gt;_x000d__x000a_        &amp;lt;DecisionCreateDate&amp;gt;2024-11-12T08:59:07.8780898+02:00&amp;lt;/DecisionCreateDate&amp;gt;_x000d__x000a_        &amp;lt;DecisionChangeDate&amp;gt;2024-11-12T08:59:07.8780898+02:00&amp;lt;/DecisionChangeDate&amp;gt;_x000d__x000a_        &amp;lt;DecisionChangeUserID&amp;gt;0338282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8282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828203@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21467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58"/>
    <w:docVar w:name="NGCS.TemplateCaseTypeID" w:val="15"/>
    <w:docVar w:name="NGCS.TemplateCategoryID" w:val="80"/>
    <w:docVar w:name="NGCS.TemplateCourtID" w:val="41"/>
    <w:docVar w:name="NGCS.TemplateProceedingID" w:val="3"/>
    <w:docVar w:name="SelectedDocumentID" w:val="409739219"/>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A4C00"/>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B3618"/>
    <w:rsid w:val="001C4003"/>
    <w:rsid w:val="001D4DBF"/>
    <w:rsid w:val="001E75CA"/>
    <w:rsid w:val="002265FF"/>
    <w:rsid w:val="00234943"/>
    <w:rsid w:val="00240267"/>
    <w:rsid w:val="00256F0D"/>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7693C"/>
    <w:rsid w:val="005839C1"/>
    <w:rsid w:val="005953EC"/>
    <w:rsid w:val="005F4F09"/>
    <w:rsid w:val="0061431B"/>
    <w:rsid w:val="00622BAA"/>
    <w:rsid w:val="006306CF"/>
    <w:rsid w:val="00644E9A"/>
    <w:rsid w:val="00671BD5"/>
    <w:rsid w:val="006805C1"/>
    <w:rsid w:val="00686C21"/>
    <w:rsid w:val="006931C1"/>
    <w:rsid w:val="00694556"/>
    <w:rsid w:val="006C30C5"/>
    <w:rsid w:val="006C4820"/>
    <w:rsid w:val="006D3B31"/>
    <w:rsid w:val="006D7695"/>
    <w:rsid w:val="006E0D96"/>
    <w:rsid w:val="006E1A53"/>
    <w:rsid w:val="006F56E6"/>
    <w:rsid w:val="00704EDA"/>
    <w:rsid w:val="00721122"/>
    <w:rsid w:val="007360BE"/>
    <w:rsid w:val="00753019"/>
    <w:rsid w:val="00754801"/>
    <w:rsid w:val="00761441"/>
    <w:rsid w:val="00795365"/>
    <w:rsid w:val="007A351D"/>
    <w:rsid w:val="007B7765"/>
    <w:rsid w:val="007C5BDD"/>
    <w:rsid w:val="007D45E3"/>
    <w:rsid w:val="007E6115"/>
    <w:rsid w:val="007F4609"/>
    <w:rsid w:val="007F6E3D"/>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97306"/>
    <w:rsid w:val="00BA0A7C"/>
    <w:rsid w:val="00BA517C"/>
    <w:rsid w:val="00BB3D05"/>
    <w:rsid w:val="00BB73BE"/>
    <w:rsid w:val="00BC2D89"/>
    <w:rsid w:val="00BD6531"/>
    <w:rsid w:val="00BE05B2"/>
    <w:rsid w:val="00BF1908"/>
    <w:rsid w:val="00C22D93"/>
    <w:rsid w:val="00C23458"/>
    <w:rsid w:val="00C31120"/>
    <w:rsid w:val="00C34482"/>
    <w:rsid w:val="00C42175"/>
    <w:rsid w:val="00C43648"/>
    <w:rsid w:val="00C50A9F"/>
    <w:rsid w:val="00C511D6"/>
    <w:rsid w:val="00C642FA"/>
    <w:rsid w:val="00CB11C0"/>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417C5"/>
    <w:rsid w:val="00E5426A"/>
    <w:rsid w:val="00E54642"/>
    <w:rsid w:val="00E54CD9"/>
    <w:rsid w:val="00E80CBE"/>
    <w:rsid w:val="00E95145"/>
    <w:rsid w:val="00E962E3"/>
    <w:rsid w:val="00EB6C79"/>
    <w:rsid w:val="00EC37E9"/>
    <w:rsid w:val="00F038D8"/>
    <w:rsid w:val="00F06995"/>
    <w:rsid w:val="00F13623"/>
    <w:rsid w:val="00F44D1D"/>
    <w:rsid w:val="00F83D31"/>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semiHidden/>
    <w:unhideWhenUsed/>
    <w:rsid w:val="000A4C00"/>
    <w:rPr>
      <w:color w:val="0000FF"/>
      <w:u w:val="single"/>
    </w:rPr>
  </w:style>
  <w:style w:type="paragraph" w:styleId="ad">
    <w:name w:val="List Paragraph"/>
    <w:basedOn w:val="a"/>
    <w:uiPriority w:val="34"/>
    <w:qFormat/>
    <w:rsid w:val="000A4C00"/>
    <w:pPr>
      <w:ind w:left="720"/>
      <w:contextualSpacing/>
    </w:pPr>
  </w:style>
  <w:style w:type="paragraph" w:customStyle="1" w:styleId="10">
    <w:name w:val="פיסקת רשימה1"/>
    <w:basedOn w:val="a"/>
    <w:qFormat/>
    <w:rsid w:val="000A4C00"/>
    <w:pPr>
      <w:bidi w:val="0"/>
      <w:spacing w:before="100" w:beforeAutospacing="1" w:after="100" w:afterAutospacing="1"/>
    </w:pPr>
    <w:rPr>
      <w:rFonts w:cs="Times New Roman"/>
      <w:noProof w:val="0"/>
    </w:rPr>
  </w:style>
  <w:style w:type="paragraph" w:customStyle="1" w:styleId="p22">
    <w:name w:val="p22"/>
    <w:basedOn w:val="a"/>
    <w:rsid w:val="000A4C00"/>
    <w:pPr>
      <w:bidi w:val="0"/>
      <w:spacing w:before="100" w:beforeAutospacing="1" w:after="100" w:afterAutospacing="1"/>
    </w:pPr>
    <w:rPr>
      <w:rFonts w:cs="Times New Roman"/>
      <w:noProof w:val="0"/>
    </w:rPr>
  </w:style>
  <w:style w:type="character" w:customStyle="1" w:styleId="default">
    <w:name w:val="default"/>
    <w:basedOn w:val="a0"/>
    <w:rsid w:val="000A4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09856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case/5723948" TargetMode="External"/><Relationship Id="rId18" Type="http://schemas.openxmlformats.org/officeDocument/2006/relationships/hyperlink" Target="http://www.nevo.co.il/case/5885362" TargetMode="External"/><Relationship Id="rId26" Type="http://schemas.openxmlformats.org/officeDocument/2006/relationships/hyperlink" Target="http://www.nevo.co.il/law/71809" TargetMode="External"/><Relationship Id="rId39" Type="http://schemas.openxmlformats.org/officeDocument/2006/relationships/hyperlink" Target="http://www.nevo.co.il/law/72178" TargetMode="External"/><Relationship Id="rId21" Type="http://schemas.openxmlformats.org/officeDocument/2006/relationships/hyperlink" Target="http://www.nevo.co.il/law/71809" TargetMode="External"/><Relationship Id="rId34" Type="http://schemas.openxmlformats.org/officeDocument/2006/relationships/hyperlink" Target="http://www.nevo.co.il/case/5977315" TargetMode="External"/><Relationship Id="rId42" Type="http://schemas.openxmlformats.org/officeDocument/2006/relationships/image" Target="media/image3.jpg"/><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www.nevo.co.il/law/72897" TargetMode="External"/><Relationship Id="rId29" Type="http://schemas.openxmlformats.org/officeDocument/2006/relationships/hyperlink" Target="http://www.nevo.co.il/law/7180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157751" TargetMode="External"/><Relationship Id="rId24" Type="http://schemas.openxmlformats.org/officeDocument/2006/relationships/hyperlink" Target="http://www.nevo.co.il/case/17932125" TargetMode="External"/><Relationship Id="rId32" Type="http://schemas.openxmlformats.org/officeDocument/2006/relationships/hyperlink" Target="http://www.nevo.co.il/law/71809" TargetMode="External"/><Relationship Id="rId37" Type="http://schemas.openxmlformats.org/officeDocument/2006/relationships/hyperlink" Target="http://www.nevo.co.il/law/72178" TargetMode="External"/><Relationship Id="rId40" Type="http://schemas.openxmlformats.org/officeDocument/2006/relationships/hyperlink" Target="http://www.nevo.co.il/law/72138"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nevo.co.il/case/5992633" TargetMode="External"/><Relationship Id="rId23" Type="http://schemas.openxmlformats.org/officeDocument/2006/relationships/hyperlink" Target="http://www.nevo.co.il/case/17945426" TargetMode="External"/><Relationship Id="rId28" Type="http://schemas.openxmlformats.org/officeDocument/2006/relationships/hyperlink" Target="http://www.nevo.co.il/law/72897" TargetMode="External"/><Relationship Id="rId36" Type="http://schemas.openxmlformats.org/officeDocument/2006/relationships/hyperlink" Target="http://www.nevo.co.il/law/72138" TargetMode="External"/><Relationship Id="rId10" Type="http://schemas.openxmlformats.org/officeDocument/2006/relationships/image" Target="media/image2.png"/><Relationship Id="rId19" Type="http://schemas.openxmlformats.org/officeDocument/2006/relationships/hyperlink" Target="http://www.nevo.co.il/law/71809/5" TargetMode="External"/><Relationship Id="rId31" Type="http://schemas.openxmlformats.org/officeDocument/2006/relationships/hyperlink" Target="http://www.nevo.co.il/law/71809/5.2" TargetMode="External"/><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nevo.co.il/case/5782730" TargetMode="External"/><Relationship Id="rId22" Type="http://schemas.openxmlformats.org/officeDocument/2006/relationships/hyperlink" Target="http://www.nevo.co.il/case/6151742" TargetMode="External"/><Relationship Id="rId27" Type="http://schemas.openxmlformats.org/officeDocument/2006/relationships/hyperlink" Target="http://www.nevo.co.il/law/71809" TargetMode="External"/><Relationship Id="rId30" Type="http://schemas.openxmlformats.org/officeDocument/2006/relationships/hyperlink" Target="http://www.nevo.co.il/law/72402" TargetMode="External"/><Relationship Id="rId35" Type="http://schemas.openxmlformats.org/officeDocument/2006/relationships/hyperlink" Target="http://www.nevo.co.il/case/2232255" TargetMode="External"/><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customXml" Target="../customXml/item2.xml"/><Relationship Id="rId12" Type="http://schemas.openxmlformats.org/officeDocument/2006/relationships/hyperlink" Target="http://www.nevo.co.il/case/5694870" TargetMode="External"/><Relationship Id="rId17" Type="http://schemas.openxmlformats.org/officeDocument/2006/relationships/hyperlink" Target="http://www.nevo.co.il/law/72897" TargetMode="External"/><Relationship Id="rId25" Type="http://schemas.openxmlformats.org/officeDocument/2006/relationships/hyperlink" Target="http://www.nevo.co.il/law/71809" TargetMode="External"/><Relationship Id="rId33" Type="http://schemas.openxmlformats.org/officeDocument/2006/relationships/hyperlink" Target="http://www.nevo.co.il/law/71809" TargetMode="External"/><Relationship Id="rId38" Type="http://schemas.openxmlformats.org/officeDocument/2006/relationships/hyperlink" Target="http://www.nevo.co.il/law/72178" TargetMode="External"/><Relationship Id="rId46" Type="http://schemas.openxmlformats.org/officeDocument/2006/relationships/glossaryDocument" Target="glossary/document.xml"/><Relationship Id="rId20" Type="http://schemas.openxmlformats.org/officeDocument/2006/relationships/hyperlink" Target="http://www.nevo.co.il/law/71809" TargetMode="External"/><Relationship Id="rId41" Type="http://schemas.openxmlformats.org/officeDocument/2006/relationships/hyperlink" Target="http://www.nevo.co.il/law/7217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A7D5F" w:rsidP="00BA7D5F">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
      <w:docPartPr>
        <w:name w:val="29BBD408062D41728D690A1D9BD5B602"/>
        <w:category>
          <w:name w:val="כללי"/>
          <w:gallery w:val="placeholder"/>
        </w:category>
        <w:types>
          <w:type w:val="bbPlcHdr"/>
        </w:types>
        <w:behaviors>
          <w:behavior w:val="content"/>
        </w:behaviors>
        <w:guid w:val="{C04B09E4-DC96-4059-8336-7E576C3520AB}"/>
      </w:docPartPr>
      <w:docPartBody>
        <w:p w:rsidR="0086433F" w:rsidRDefault="002A56A9" w:rsidP="002A56A9">
          <w:pPr>
            <w:pStyle w:val="29BBD408062D41728D690A1D9BD5B6027"/>
          </w:pPr>
          <w:r w:rsidRPr="00E54CD9">
            <w:rPr>
              <w:rFonts w:ascii="Arial" w:hAnsi="Arial" w:hint="eastAsia"/>
              <w:b/>
              <w:bCs/>
              <w:noProof w:val="0"/>
              <w:sz w:val="26"/>
              <w:szCs w:val="26"/>
              <w:rtl/>
            </w:rPr>
            <w:t>מספר</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27EC5"/>
    <w:rsid w:val="002A56A9"/>
    <w:rsid w:val="002B79BA"/>
    <w:rsid w:val="002D02C4"/>
    <w:rsid w:val="00345C9D"/>
    <w:rsid w:val="00405FEA"/>
    <w:rsid w:val="004745AE"/>
    <w:rsid w:val="0048651F"/>
    <w:rsid w:val="005157ED"/>
    <w:rsid w:val="00556D67"/>
    <w:rsid w:val="005C0EA9"/>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A7D5F"/>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A7D5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80214678</CaseID>
    <CaseJudicialPersonPresentationDS>
      <CaseJudicalPersonActive>
        <CaseID>80214678</CaseID>
        <JudicialPersonID>033828203@GOV.IL</JudicialPersonID>
        <JudicialPersonTypeID>1</JudicialPersonTypeID>
        <JudicialTypeID>1</JudicialTypeID>
        <IsChairman>false</IsChairman>
        <TreatmentStartDate>2024-07-04T14:39:09.19+03:00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80214678</CaseID>
        <CaseJudicialPersonPresentationDS>
          <CaseJudicalPersonActive>
            <CaseID>80214678</CaseID>
            <JudicialPersonID>033828203@GOV.IL</JudicialPersonID>
            <JudicialPersonTypeID>1</JudicialPersonTypeID>
            <JudicialTypeID>1</JudicialTypeID>
            <IsChairman>false</IsChairman>
            <TreatmentStartDate>2024-07-04T14:39:09.19+03:00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255675963</CasePartyID>
        <PartyTypeID>2</PartyTypeID>
        <ActivityStatusID>1</ActivityStatusID>
        <PartyAliasID>21</PartyAliasID>
        <PartyAliasName>בא כוח נתבעים</PartyAliasName>
        <LegalEntityID>397533</LegalEntityID>
        <CaseLegalEntityID>124345083</CaseLegalEntityID>
        <AuthenticationTypeID>4</AuthenticationTypeID>
        <AuthenticationTypeName>מ.ר.</AuthenticationTypeName>
        <LegalEntityNumber>16699</LegalEntityNumber>
        <IsMainPartyType>true</IsMainPartyType>
        <CaseDisplayIdentifier>6520-05-23</CaseDisplayIdentifier>
        <CaseTypeID>15</CaseTypeID>
        <CaseTypeName>תיק משפחה (תמ"ש)</CaseTypeName>
        <CaseName>בוכריס נ' אטיה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יצחק אבידני</FullName>
        <FirstName>יצחק</FirstName>
        <LastName>אבידני</LastName>
        <PartyPropertyName/>
        <AuthenticationTypeAndNumber>מ.ר. 10311</AuthenticationTypeAndNumber>
        <RepresentatedOrRepresentativesNames xml:space="preserve"> </RepresentatedOrRepresentativesNames>
        <RepresentatedOrRepresentativesCount>1</RepresentatedOrRepresentativesCount>
        <InvitedBy/>
        <CaseID>80214678</CaseID>
        <CaseJudicialPersonPresentationDS>
          <CaseJudicalPersonActive>
            <CaseID>80214678</CaseID>
            <JudicialPersonID>033828203@GOV.IL</JudicialPersonID>
            <JudicialPersonTypeID>1</JudicialPersonTypeID>
            <JudicialTypeID>1</JudicialTypeID>
            <IsChairman>false</IsChairman>
            <TreatmentStartDate>2024-07-04T14:39:09.19+03:00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256743376</CasePartyID>
        <PartyTypeID>2</PartyTypeID>
        <ActivityStatusID>1</ActivityStatusID>
        <PartyAliasID>21</PartyAliasID>
        <PartyAliasName>בא כוח נתבעים</PartyAliasName>
        <LegalEntityID>388645</LegalEntityID>
        <CaseLegalEntityID>124680155</CaseLegalEntityID>
        <AuthenticationTypeID>4</AuthenticationTypeID>
        <AuthenticationTypeName>מ.ר.</AuthenticationTypeName>
        <LegalEntityNumber>10311</LegalEntityNumber>
        <IsMainPartyType>true</IsMainPartyType>
        <CaseDisplayIdentifier>6520-05-23</CaseDisplayIdentifier>
        <CaseTypeID>15</CaseTypeID>
        <CaseTypeName>תיק משפחה (תמ"ש)</CaseTypeName>
        <CaseName>בוכריס נ' אטיה ואח'</CaseName>
        <FullAddress>מרדכי בן הלל 13 ירושלים </FullAddress>
        <EmailAddress>avidani@zahav.net.il</EmailAddress>
        <MotionID>0</MotionID>
        <CasePleaID>0</CasePleaID>
        <FatherName xml:space="preserve">        </FatherName>
        <LinkedCaseID>0</LinkedCaseID>
        <PartyID>2</PartyID>
        <CasePartyCategoryID>2</CasePartyCategoryID>
        <LegalEntityAddressID>71137183</LegalEntityAddressID>
        <LegalEntityEmailAddressID>68277174</LegalEntityEmailAddressID>
        <PleaTypeID>4</PleaTypeID>
        <LawyerOfficeName>משרד עו"ד: יצחק אבידני</LawyerOfficeName>
        <LawyerOfficeID>429289</LawyerOfficeID>
        <GroupPartyAlias/>
        <IsConverted>false</IsConverted>
        <LegalEntityNameID>9629</LegalEntityNameID>
        <RepresentatedNamesOfAssistant/>
        <LegalEntityTypeID>4</LegalEntityTypeID>
        <IsVerdictExists>false</IsVerdictExists>
        <IsAsirAzir>false</IsAsirAzir>
        <MainAndSecSpec/>
        <IsPublicationProhibited>false</IsPublicationProhibited>
        <PublicationProhibitedFullName>יצחק אבידני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ירון ממן</FullName>
        <FirstName>ירון</FirstName>
        <LastName>ממן</LastName>
        <PartyPropertyName/>
        <AuthenticationTypeAndNumber>מ.ר. 27848</AuthenticationTypeAndNumber>
        <RepresentatedOrRepresentativesNames>יהושע אטיה</RepresentatedOrRepresentativesNames>
        <RepresentatedOrRepresentativesCount>1</RepresentatedOrRepresentativesCount>
        <InvitedBy/>
        <CaseID>80214678</CaseID>
        <CaseJudicialPersonPresentationDS>
          <CaseJudicalPersonActive>
            <CaseID>80214678</CaseID>
            <JudicialPersonID>033828203@GOV.IL</JudicialPersonID>
            <JudicialPersonTypeID>1</JudicialPersonTypeID>
            <JudicialTypeID>1</JudicialTypeID>
            <IsChairman>false</IsChairman>
            <TreatmentStartDate>2024-07-04T14:39:09.19+03:00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256840891</CasePartyID>
        <PartyTypeID>2</PartyTypeID>
        <ActivityStatusID>1</ActivityStatusID>
        <PartyAliasID>21</PartyAliasID>
        <PartyAliasName>בא כוח נתבעים</PartyAliasName>
        <LegalEntityID>388032</LegalEntityID>
        <CaseLegalEntityID>124712216</CaseLegalEntityID>
        <AuthenticationTypeID>4</AuthenticationTypeID>
        <AuthenticationTypeName>מ.ר.</AuthenticationTypeName>
        <LegalEntityNumber>27848</LegalEntityNumber>
        <IsMainPartyType>true</IsMainPartyType>
        <CaseDisplayIdentifier>6520-05-23</CaseDisplayIdentifier>
        <CaseTypeID>15</CaseTypeID>
        <CaseTypeName>תיק משפחה (תמ"ש)</CaseTypeName>
        <CaseName>בוכריס נ' אטיה ואח'</CaseName>
        <FullAddress>דרך יבנה 34 רחובות </FullAddress>
        <EmailAddress>yaron@pm-law.co.il</EmailAddress>
        <MotionID>0</MotionID>
        <CasePleaID>0</CasePleaID>
        <LinkedCaseID>0</LinkedCaseID>
        <PartyID>2</PartyID>
        <CasePartyCategoryID>2</CasePartyCategoryID>
        <LegalEntityAddressID>72302598</LegalEntityAddressID>
        <LegalEntityEmailAddressID>67865657</LegalEntityEmailAddressID>
        <PleaTypeID>4</PleaTypeID>
        <LawyerOfficeName>משרד עו"ד: ירון ממן</LawyerOfficeName>
        <LawyerOfficeID>428676</LawyerOfficeID>
        <GroupPartyAlias/>
        <IsConverted>false</IsConverted>
        <LegalEntityNameID>9016</LegalEntityNameID>
        <RepresentatedNamesOfAssistant/>
        <LegalEntityTypeID>4</LegalEntityTypeID>
        <IsVerdictExists>false</IsVerdictExists>
        <IsAsirAzir>false</IsAsirAzir>
        <MainAndSecSpec/>
        <IsPublicationProhibited>false</IsPublicationProhibited>
        <PublicationProhibitedFullName>ירון ממן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יוסף בוכריס</FullName>
        <FirstName>יוסף</FirstName>
        <LastName>בוכריץ</LastName>
        <PartyPropertyName/>
        <AuthenticationTypeAndNumber>ת"ז 052483815</AuthenticationTypeAndNumber>
        <RepresentatedOrRepresentativesNames>גלעד אבני</RepresentatedOrRepresentativesNames>
        <RepresentatedOrRepresentativesCount>1</RepresentatedOrRepresentativesCount>
        <InvitedBy/>
        <CaseID>80214678</CaseID>
        <CaseJudicialPersonPresentationDS>
          <CaseJudicalPersonActive>
            <CaseID>80214678</CaseID>
            <JudicialPersonID>033828203@GOV.IL</JudicialPersonID>
            <JudicialPersonTypeID>1</JudicialPersonTypeID>
            <JudicialTypeID>1</JudicialTypeID>
            <IsChairman>false</IsChairman>
            <TreatmentStartDate>2024-07-04T14:39:09.19+03:00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255107710</CasePartyID>
        <PartyTypeID>1</PartyTypeID>
        <ActivityStatusID>1</ActivityStatusID>
        <PartyAliasID>1</PartyAliasID>
        <PartyAliasName>תובע</PartyAliasName>
        <OrdinalNumber>1</OrdinalNumber>
        <LegalEntityID>34427847</LegalEntityID>
        <CaseLegalEntityID>124171269</CaseLegalEntityID>
        <AuthenticationTypeID>1</AuthenticationTypeID>
        <AuthenticationTypeName>ת"ז</AuthenticationTypeName>
        <LegalEntityNumber>052483815</LegalEntityNumber>
        <IsMainPartyType>true</IsMainPartyType>
        <CaseDisplayIdentifier>6520-05-23</CaseDisplayIdentifier>
        <CaseTypeID>15</CaseTypeID>
        <CaseTypeName>תיק משפחה (תמ"ש)</CaseTypeName>
        <CaseName>בוכריס נ' אטיה ואח'</CaseName>
        <FullAddress>משק 32 שרשרת ד.נ נגב</FullAddress>
        <MotionID>0</MotionID>
        <CasePleaID>0</CasePleaID>
        <FatherName>סעדיה</FatherName>
        <LinkedCaseID>0</LinkedCaseID>
        <PartyID>1</PartyID>
        <CasePartyCategoryID>2</CasePartyCategoryID>
        <LegalEntityAddressID>87858235</LegalEntityAddressID>
        <PleaTypeID>4</PleaTypeID>
        <GroupPartyAlias>תובעים</GroupPartyAlias>
        <IsConverted>false</IsConverted>
        <LegalEntityRegisteredNameID>5822592</LegalEntityRegisteredNameID>
        <LegalEntityNameID>94794277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בוכריס</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גלעד אבני</FullName>
        <FirstName>גלעד</FirstName>
        <LastName>אבני</LastName>
        <PartyPropertyName/>
        <AuthenticationTypeAndNumber>מ.ר. 42454</AuthenticationTypeAndNumber>
        <RepresentatedOrRepresentativesNames>יוסף בוכריס</RepresentatedOrRepresentativesNames>
        <RepresentatedOrRepresentativesCount>1</RepresentatedOrRepresentativesCount>
        <InvitedBy/>
        <CaseID>80214678</CaseID>
        <CaseJudicialPersonPresentationDS>
          <CaseJudicalPersonActive>
            <CaseID>80214678</CaseID>
            <JudicialPersonID>033828203@GOV.IL</JudicialPersonID>
            <JudicialPersonTypeID>1</JudicialPersonTypeID>
            <JudicialTypeID>1</JudicialTypeID>
            <IsChairman>false</IsChairman>
            <TreatmentStartDate>2024-07-04T14:39:09.19+03:00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255107711</CasePartyID>
        <PartyTypeID>2</PartyTypeID>
        <ActivityStatusID>1</ActivityStatusID>
        <PartyAliasID>20</PartyAliasID>
        <PartyAliasName>בא כוח תובעים</PartyAliasName>
        <OrdinalNumber>1</OrdinalNumber>
        <LegalEntityID>415969</LegalEntityID>
        <CaseLegalEntityID>124171270</CaseLegalEntityID>
        <AuthenticationTypeID>4</AuthenticationTypeID>
        <AuthenticationTypeName>מ.ר.</AuthenticationTypeName>
        <LegalEntityNumber>42454</LegalEntityNumber>
        <IsMainPartyType>true</IsMainPartyType>
        <CaseDisplayIdentifier>6520-05-23</CaseDisplayIdentifier>
        <CaseTypeID>15</CaseTypeID>
        <CaseTypeName>תיק משפחה (תמ"ש)</CaseTypeName>
        <CaseName>בוכריס נ' אטיה ואח'</CaseName>
        <FullAddress>בעלי המלאכה 2 נתיבות ת.ד 5015</FullAddress>
        <EmailAddress>gili.avni@gmail.com</EmailAddress>
        <MotionID>0</MotionID>
        <CasePleaID>0</CasePleaID>
        <FatherName xml:space="preserve">        </FatherName>
        <LinkedCaseID>0</LinkedCaseID>
        <PartyID>1</PartyID>
        <CasePartyCategoryID>2</CasePartyCategoryID>
        <LegalEntityAddressID>75748582</LegalEntityAddressID>
        <LegalEntityEmailAddressID>68136159</LegalEntityEmailAddressID>
        <PleaTypeID>4</PleaTypeID>
        <LawyerOfficeName>משרד עו"ד: גלעד אבני</LawyerOfficeName>
        <LawyerOfficeID>456613</LawyerOfficeID>
        <GroupPartyAlias/>
        <IsConverted>false</IsConverted>
        <LegalEntityNameID>36953</LegalEntityNameID>
        <RepresentatedNamesOfAssistant/>
        <LegalEntityTypeID>4</LegalEntityTypeID>
        <IsVerdictExists>false</IsVerdictExists>
        <IsAsirAzir>false</IsAsirAzir>
        <MainAndSecSpec/>
        <IsPublicationProhibited>false</IsPublicationProhibited>
        <PublicationProhibitedFullName>גלעד אבני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יהושע אטיה</FullName>
        <FirstName>יהושע</FirstName>
        <LastName>עטיה</LastName>
        <PartyPropertyName/>
        <AuthenticationTypeAndNumber>ת"ז 041336256</AuthenticationTypeAndNumber>
        <RepresentatedOrRepresentativesNames>ירון ממן</RepresentatedOrRepresentativesNames>
        <RepresentatedOrRepresentativesCount>1</RepresentatedOrRepresentativesCount>
        <InvitedBy/>
        <CaseID>80214678</CaseID>
        <CaseJudicialPersonPresentationDS>
          <CaseJudicalPersonActive>
            <CaseID>80214678</CaseID>
            <JudicialPersonID>033828203@GOV.IL</JudicialPersonID>
            <JudicialPersonTypeID>1</JudicialPersonTypeID>
            <JudicialTypeID>1</JudicialTypeID>
            <IsChairman>false</IsChairman>
            <TreatmentStartDate>2024-07-04T14:39:09.19+03:00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255107712</CasePartyID>
        <PartyTypeID>1</PartyTypeID>
        <ActivityStatusID>1</ActivityStatusID>
        <PartyAliasID>2</PartyAliasID>
        <PartyAliasName>נתבע</PartyAliasName>
        <OrdinalNumber>1</OrdinalNumber>
        <LegalEntityID>34416292</LegalEntityID>
        <CaseLegalEntityID>124171271</CaseLegalEntityID>
        <AuthenticationTypeID>1</AuthenticationTypeID>
        <AuthenticationTypeName>ת"ז</AuthenticationTypeName>
        <LegalEntityNumber>041336256</LegalEntityNumber>
        <IsMainPartyType>true</IsMainPartyType>
        <CaseDisplayIdentifier>6520-05-23</CaseDisplayIdentifier>
        <CaseTypeID>15</CaseTypeID>
        <CaseTypeName>תיק משפחה (תמ"ש)</CaseTypeName>
        <CaseName>בוכריס נ' אטיה ואח'</CaseName>
        <FullAddress>משק מספר 44 שרשרת דץנ נגב</FullAddress>
        <MotionID>0</MotionID>
        <CasePleaID>0</CasePleaID>
        <FatherName>ישמעאל</FatherName>
        <LinkedCaseID>0</LinkedCaseID>
        <PartyID>2</PartyID>
        <CasePartyCategoryID>2</CasePartyCategoryID>
        <LegalEntityAddressID>87858236</LegalEntityAddressID>
        <PleaTypeID>4</PleaTypeID>
        <GroupPartyAlias>נתבעים</GroupPartyAlias>
        <IsConverted>false</IsConverted>
        <LegalEntityRegisteredNameID>2880489</LegalEntityRegisteredNameID>
        <LegalEntityNameID>94794278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יהושע אטיה</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רשות מקרקעי ישראל - מחוז דרום</FullName>
        <LastName>רשות מקרקעי ישראל - מחוז דרום</LastName>
        <PartyPropertyName/>
        <AuthenticationTypeAndNumber>משרדי ממשלה 570000716</AuthenticationTypeAndNumber>
        <RepresentatedOrRepresentativesNames>ציון אילוז</RepresentatedOrRepresentativesNames>
        <RepresentatedOrRepresentativesCount>1</RepresentatedOrRepresentativesCount>
        <InvitedBy/>
        <CaseID>80214678</CaseID>
        <CaseJudicialPersonPresentationDS>
          <CaseJudicalPersonActive>
            <CaseID>80214678</CaseID>
            <JudicialPersonID>033828203@GOV.IL</JudicialPersonID>
            <JudicialPersonTypeID>1</JudicialPersonTypeID>
            <JudicialTypeID>1</JudicialTypeID>
            <IsChairman>false</IsChairman>
            <TreatmentStartDate>2024-07-04T14:39:09.19+03:00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255107707</CasePartyID>
        <PartyTypeID>1</PartyTypeID>
        <ActivityStatusID>1</ActivityStatusID>
        <PartyAliasID>2</PartyAliasID>
        <PartyAliasName>נתבע</PartyAliasName>
        <OrdinalNumber>2</OrdinalNumber>
        <LegalEntityID>15912675</LegalEntityID>
        <CaseLegalEntityID>124171266</CaseLegalEntityID>
        <AuthenticationTypeID>13</AuthenticationTypeID>
        <AuthenticationTypeName>משרדי ממשלה</AuthenticationTypeName>
        <LegalEntityNumber>570000716</LegalEntityNumber>
        <IsMainPartyType>true</IsMainPartyType>
        <CaseDisplayIdentifier>6520-05-23</CaseDisplayIdentifier>
        <CaseTypeID>15</CaseTypeID>
        <CaseTypeName>תיק משפחה (תמ"ש)</CaseTypeName>
        <CaseName>בוכריס נ' אטיה ואח'</CaseName>
        <FullAddress/>
        <MotionID>0</MotionID>
        <CasePleaID>0</CasePleaID>
        <LinkedCaseID>0</LinkedCaseID>
        <PartyID>2</PartyID>
        <CasePartyCategoryID>2</CasePartyCategoryID>
        <PleaTypeID>4</PleaTypeID>
        <GroupPartyAlias>נתבעים</GroupPartyAlias>
        <IsConverted>false</IsConverted>
        <LegalEntityRegisteredNameID>6124172</LegalEntityRegisteredNameID>
        <RepresentatedNamesOfAssistant/>
        <LegalEntityTypeID>3</LegalEntityTypeID>
        <IsVerdictExists>false</IsVerdictExists>
        <IsAsirAzir>false</IsAsirAzir>
        <MainAndSecSpec/>
        <IsPublicationProhibited>false</IsPublicationProhibited>
        <PublicationProhibitedFullName>רשות מקרקעי ישראל - מחוז דרום</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הסוכנות היהודית לא"י</FullName>
        <LastName>הסוכנות היהודית לא"י</LastName>
        <PartyPropertyName/>
        <AuthenticationTypeAndNumber>חברות חוץ 520039917</AuthenticationTypeAndNumber>
        <RepresentatedOrRepresentativesNames>יצחק אבידני</RepresentatedOrRepresentativesNames>
        <RepresentatedOrRepresentativesCount>1</RepresentatedOrRepresentativesCount>
        <InvitedBy/>
        <CaseID>80214678</CaseID>
        <CaseJudicialPersonPresentationDS>
          <CaseJudicalPersonActive>
            <CaseID>80214678</CaseID>
            <JudicialPersonID>033828203@GOV.IL</JudicialPersonID>
            <JudicialPersonTypeID>1</JudicialPersonTypeID>
            <JudicialTypeID>1</JudicialTypeID>
            <IsChairman>false</IsChairman>
            <TreatmentStartDate>2024-07-04T14:39:09.19+03:00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255107708</CasePartyID>
        <PartyTypeID>1</PartyTypeID>
        <ActivityStatusID>1</ActivityStatusID>
        <PartyAliasID>2</PartyAliasID>
        <PartyAliasName>נתבע</PartyAliasName>
        <OrdinalNumber>3</OrdinalNumber>
        <LegalEntityID>15813552</LegalEntityID>
        <CaseLegalEntityID>124171267</CaseLegalEntityID>
        <AuthenticationTypeID>16</AuthenticationTypeID>
        <AuthenticationTypeName>חברות חוץ</AuthenticationTypeName>
        <LegalEntityNumber>520039917</LegalEntityNumber>
        <IsMainPartyType>true</IsMainPartyType>
        <CaseDisplayIdentifier>6520-05-23</CaseDisplayIdentifier>
        <CaseTypeID>15</CaseTypeID>
        <CaseTypeName>תיק משפחה (תמ"ש)</CaseTypeName>
        <CaseName>בוכריס נ' אטיה ואח'</CaseName>
        <FullAddress/>
        <MotionID>0</MotionID>
        <CasePleaID>0</CasePleaID>
        <LinkedCaseID>0</LinkedCaseID>
        <PartyID>2</PartyID>
        <CasePartyCategoryID>2</CasePartyCategoryID>
        <PleaTypeID>4</PleaTypeID>
        <GroupPartyAlias>נתבעים</GroupPartyAlias>
        <IsConverted>false</IsConverted>
        <LegalEntityRegisteredNameID>516716</LegalEntityRegisteredNameID>
        <RepresentatedNamesOfAssistant/>
        <LegalEntityTypeID>3</LegalEntityTypeID>
        <IsVerdictExists>false</IsVerdictExists>
        <IsAsirAzir>false</IsAsirAzir>
        <MainAndSecSpec/>
        <IsPublicationProhibited>false</IsPublicationProhibited>
        <PublicationProhibitedFullName>הסוכנות היהודית לא"י</PublicationProhibitedFullName>
      </CaseParties>
    </CasePartiesSelectionDS>
    <DecisionName>החלטה  שניתנה ע"י  דיאנה פסו-ואגו</DecisionName>
    <CourtDisplayName>בית משפט לענייני משפחה בבאר שבע</CourtDisplayName>
    <IsCaseJudgePanel>false</IsCaseJudgePanel>
    <DecisionSignatureDate>2024-11-12T08:59:07.8780898+02:00</DecisionSignatureDate>
    <OpenCaseDate>2023-05-03T07:00:00+03:00</OpenCaseDate>
    <CaseFeeSum>0.000</CaseFeeSum>
    <DecisionTypeID>1</DecisionTypeID>
    <DecisionSignatureUserName>דיאנה פסו-ואגו</DecisionSignatureUserName>
    <DecisionSignatureDateHebrew>2024-11-12T08:59:07.8780898+02:00</DecisionSignatureDateHebrew>
    <DecisionWriterID>033828203@GOV.IL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בוכריס נ' אטיה ואח'</CaseName>
    <DecisionNumberInCase>32</DecisionNumberInCase>
  </dt_Decision>
  <dt_DecisionCase>
    <DecisionID>0</DecisionID>
    <CaseID>80214678</CaseID>
    <CaseJudicialPersonPresentationDS>
      <CaseJudicalPersonActive>
        <CaseID>80214678</CaseID>
        <JudicialPersonID>033828203@GOV.IL</JudicialPersonID>
        <JudicialPersonTypeID>1</JudicialPersonTypeID>
        <JudicialTypeID>1</JudicialTypeID>
        <IsChairman>false</IsChairman>
        <TreatmentStartDate>2024-07-04T14:39:09.19+03:00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80214678</CaseID>
        <CaseJudicialPersonPresentationDS>
          <CaseJudicalPersonActive>
            <CaseID>80214678</CaseID>
            <JudicialPersonID>033828203@GOV.IL</JudicialPersonID>
            <JudicialPersonTypeID>1</JudicialPersonTypeID>
            <JudicialTypeID>1</JudicialTypeID>
            <IsChairman>false</IsChairman>
            <TreatmentStartDate>2024-07-04T14:39:09.19+03:00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255675963</CasePartyID>
        <PartyTypeID>2</PartyTypeID>
        <ActivityStatusID>1</ActivityStatusID>
        <PartyAliasID>21</PartyAliasID>
        <PartyAliasName>בא כוח נתבעים</PartyAliasName>
        <LegalEntityID>397533</LegalEntityID>
        <CaseLegalEntityID>124345083</CaseLegalEntityID>
        <AuthenticationTypeID>4</AuthenticationTypeID>
        <AuthenticationTypeName>מ.ר.</AuthenticationTypeName>
        <LegalEntityNumber>16699</LegalEntityNumber>
        <IsMainPartyType>true</IsMainPartyType>
        <CaseDisplayIdentifier>6520-05-23</CaseDisplayIdentifier>
        <CaseTypeID>15</CaseTypeID>
        <CaseTypeName>תיק משפחה (תמ"ש)</CaseTypeName>
        <CaseName>בוכריס נ' אטיה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יצחק אבידני</FullName>
        <FirstName>יצחק</FirstName>
        <LastName>אבידני</LastName>
        <PartyPropertyName/>
        <AuthenticationTypeAndNumber>מ.ר. 10311</AuthenticationTypeAndNumber>
        <RepresentatedOrRepresentativesNames xml:space="preserve"> </RepresentatedOrRepresentativesNames>
        <RepresentatedOrRepresentativesCount>1</RepresentatedOrRepresentativesCount>
        <InvitedBy/>
        <CaseID>80214678</CaseID>
        <CaseJudicialPersonPresentationDS>
          <CaseJudicalPersonActive>
            <CaseID>80214678</CaseID>
            <JudicialPersonID>033828203@GOV.IL</JudicialPersonID>
            <JudicialPersonTypeID>1</JudicialPersonTypeID>
            <JudicialTypeID>1</JudicialTypeID>
            <IsChairman>false</IsChairman>
            <TreatmentStartDate>2024-07-04T14:39:09.19+03:00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256743376</CasePartyID>
        <PartyTypeID>2</PartyTypeID>
        <ActivityStatusID>1</ActivityStatusID>
        <PartyAliasID>21</PartyAliasID>
        <PartyAliasName>בא כוח נתבעים</PartyAliasName>
        <LegalEntityID>388645</LegalEntityID>
        <CaseLegalEntityID>124680155</CaseLegalEntityID>
        <AuthenticationTypeID>4</AuthenticationTypeID>
        <AuthenticationTypeName>מ.ר.</AuthenticationTypeName>
        <LegalEntityNumber>10311</LegalEntityNumber>
        <IsMainPartyType>true</IsMainPartyType>
        <CaseDisplayIdentifier>6520-05-23</CaseDisplayIdentifier>
        <CaseTypeID>15</CaseTypeID>
        <CaseTypeName>תיק משפחה (תמ"ש)</CaseTypeName>
        <CaseName>בוכריס נ' אטיה ואח'</CaseName>
        <FullAddress>מרדכי בן הלל 13 ירושלים </FullAddress>
        <EmailAddress>avidani@zahav.net.il</EmailAddress>
        <MotionID>0</MotionID>
        <CasePleaID>0</CasePleaID>
        <FatherName xml:space="preserve">        </FatherName>
        <LinkedCaseID>0</LinkedCaseID>
        <PartyID>2</PartyID>
        <CasePartyCategoryID>2</CasePartyCategoryID>
        <LegalEntityAddressID>71137183</LegalEntityAddressID>
        <LegalEntityEmailAddressID>68277174</LegalEntityEmailAddressID>
        <PleaTypeID>4</PleaTypeID>
        <LawyerOfficeName>משרד עו"ד: יצחק אבידני</LawyerOfficeName>
        <LawyerOfficeID>429289</LawyerOfficeID>
        <GroupPartyAlias/>
        <IsConverted>false</IsConverted>
        <LegalEntityNameID>9629</LegalEntityNameID>
        <RepresentatedNamesOfAssistant/>
        <LegalEntityTypeID>4</LegalEntityTypeID>
        <IsVerdictExists>false</IsVerdictExists>
        <IsAsirAzir>false</IsAsirAzir>
        <MainAndSecSpec/>
        <IsPublicationProhibited>false</IsPublicationProhibited>
        <PublicationProhibitedFullName>יצחק אבידני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ירון ממן</FullName>
        <FirstName>ירון</FirstName>
        <LastName>ממן</LastName>
        <PartyPropertyName/>
        <AuthenticationTypeAndNumber>מ.ר. 27848</AuthenticationTypeAndNumber>
        <RepresentatedOrRepresentativesNames>יהושע אטיה</RepresentatedOrRepresentativesNames>
        <RepresentatedOrRepresentativesCount>1</RepresentatedOrRepresentativesCount>
        <InvitedBy/>
        <CaseID>80214678</CaseID>
        <CaseJudicialPersonPresentationDS>
          <CaseJudicalPersonActive>
            <CaseID>80214678</CaseID>
            <JudicialPersonID>033828203@GOV.IL</JudicialPersonID>
            <JudicialPersonTypeID>1</JudicialPersonTypeID>
            <JudicialTypeID>1</JudicialTypeID>
            <IsChairman>false</IsChairman>
            <TreatmentStartDate>2024-07-04T14:39:09.19+03:00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256840891</CasePartyID>
        <PartyTypeID>2</PartyTypeID>
        <ActivityStatusID>1</ActivityStatusID>
        <PartyAliasID>21</PartyAliasID>
        <PartyAliasName>בא כוח נתבעים</PartyAliasName>
        <LegalEntityID>388032</LegalEntityID>
        <CaseLegalEntityID>124712216</CaseLegalEntityID>
        <AuthenticationTypeID>4</AuthenticationTypeID>
        <AuthenticationTypeName>מ.ר.</AuthenticationTypeName>
        <LegalEntityNumber>27848</LegalEntityNumber>
        <IsMainPartyType>true</IsMainPartyType>
        <CaseDisplayIdentifier>6520-05-23</CaseDisplayIdentifier>
        <CaseTypeID>15</CaseTypeID>
        <CaseTypeName>תיק משפחה (תמ"ש)</CaseTypeName>
        <CaseName>בוכריס נ' אטיה ואח'</CaseName>
        <FullAddress>דרך יבנה 34 רחובות </FullAddress>
        <EmailAddress>yaron@pm-law.co.il</EmailAddress>
        <MotionID>0</MotionID>
        <CasePleaID>0</CasePleaID>
        <LinkedCaseID>0</LinkedCaseID>
        <PartyID>2</PartyID>
        <CasePartyCategoryID>2</CasePartyCategoryID>
        <LegalEntityAddressID>72302598</LegalEntityAddressID>
        <LegalEntityEmailAddressID>67865657</LegalEntityEmailAddressID>
        <PleaTypeID>4</PleaTypeID>
        <LawyerOfficeName>משרד עו"ד: ירון ממן</LawyerOfficeName>
        <LawyerOfficeID>428676</LawyerOfficeID>
        <GroupPartyAlias/>
        <IsConverted>false</IsConverted>
        <LegalEntityNameID>9016</LegalEntityNameID>
        <RepresentatedNamesOfAssistant/>
        <LegalEntityTypeID>4</LegalEntityTypeID>
        <IsVerdictExists>false</IsVerdictExists>
        <IsAsirAzir>false</IsAsirAzir>
        <MainAndSecSpec/>
        <IsPublicationProhibited>false</IsPublicationProhibited>
        <PublicationProhibitedFullName>ירון ממן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יוסף בוכריס</FullName>
        <FirstName>יוסף</FirstName>
        <LastName>בוכריץ</LastName>
        <PartyPropertyName/>
        <AuthenticationTypeAndNumber>ת"ז 052483815</AuthenticationTypeAndNumber>
        <RepresentatedOrRepresentativesNames>גלעד אבני</RepresentatedOrRepresentativesNames>
        <RepresentatedOrRepresentativesCount>1</RepresentatedOrRepresentativesCount>
        <InvitedBy/>
        <CaseID>80214678</CaseID>
        <CaseJudicialPersonPresentationDS>
          <CaseJudicalPersonActive>
            <CaseID>80214678</CaseID>
            <JudicialPersonID>033828203@GOV.IL</JudicialPersonID>
            <JudicialPersonTypeID>1</JudicialPersonTypeID>
            <JudicialTypeID>1</JudicialTypeID>
            <IsChairman>false</IsChairman>
            <TreatmentStartDate>2024-07-04T14:39:09.19+03:00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255107710</CasePartyID>
        <PartyTypeID>1</PartyTypeID>
        <ActivityStatusID>1</ActivityStatusID>
        <PartyAliasID>1</PartyAliasID>
        <PartyAliasName>תובע</PartyAliasName>
        <OrdinalNumber>1</OrdinalNumber>
        <LegalEntityID>34427847</LegalEntityID>
        <CaseLegalEntityID>124171269</CaseLegalEntityID>
        <AuthenticationTypeID>1</AuthenticationTypeID>
        <AuthenticationTypeName>ת"ז</AuthenticationTypeName>
        <LegalEntityNumber>052483815</LegalEntityNumber>
        <IsMainPartyType>true</IsMainPartyType>
        <CaseDisplayIdentifier>6520-05-23</CaseDisplayIdentifier>
        <CaseTypeID>15</CaseTypeID>
        <CaseTypeName>תיק משפחה (תמ"ש)</CaseTypeName>
        <CaseName>בוכריס נ' אטיה ואח'</CaseName>
        <FullAddress>משק 32 שרשרת ד.נ נגב</FullAddress>
        <MotionID>0</MotionID>
        <CasePleaID>0</CasePleaID>
        <FatherName>סעדיה</FatherName>
        <LinkedCaseID>0</LinkedCaseID>
        <PartyID>1</PartyID>
        <CasePartyCategoryID>2</CasePartyCategoryID>
        <LegalEntityAddressID>87858235</LegalEntityAddressID>
        <PleaTypeID>4</PleaTypeID>
        <GroupPartyAlias>תובעים</GroupPartyAlias>
        <IsConverted>false</IsConverted>
        <LegalEntityRegisteredNameID>5822592</LegalEntityRegisteredNameID>
        <LegalEntityNameID>94794277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בוכריס</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גלעד אבני</FullName>
        <FirstName>גלעד</FirstName>
        <LastName>אבני</LastName>
        <PartyPropertyName/>
        <AuthenticationTypeAndNumber>מ.ר. 42454</AuthenticationTypeAndNumber>
        <RepresentatedOrRepresentativesNames>יוסף בוכריס</RepresentatedOrRepresentativesNames>
        <RepresentatedOrRepresentativesCount>1</RepresentatedOrRepresentativesCount>
        <InvitedBy/>
        <CaseID>80214678</CaseID>
        <CaseJudicialPersonPresentationDS>
          <CaseJudicalPersonActive>
            <CaseID>80214678</CaseID>
            <JudicialPersonID>033828203@GOV.IL</JudicialPersonID>
            <JudicialPersonTypeID>1</JudicialPersonTypeID>
            <JudicialTypeID>1</JudicialTypeID>
            <IsChairman>false</IsChairman>
            <TreatmentStartDate>2024-07-04T14:39:09.19+03:00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255107711</CasePartyID>
        <PartyTypeID>2</PartyTypeID>
        <ActivityStatusID>1</ActivityStatusID>
        <PartyAliasID>20</PartyAliasID>
        <PartyAliasName>בא כוח תובעים</PartyAliasName>
        <OrdinalNumber>1</OrdinalNumber>
        <LegalEntityID>415969</LegalEntityID>
        <CaseLegalEntityID>124171270</CaseLegalEntityID>
        <AuthenticationTypeID>4</AuthenticationTypeID>
        <AuthenticationTypeName>מ.ר.</AuthenticationTypeName>
        <LegalEntityNumber>42454</LegalEntityNumber>
        <IsMainPartyType>true</IsMainPartyType>
        <CaseDisplayIdentifier>6520-05-23</CaseDisplayIdentifier>
        <CaseTypeID>15</CaseTypeID>
        <CaseTypeName>תיק משפחה (תמ"ש)</CaseTypeName>
        <CaseName>בוכריס נ' אטיה ואח'</CaseName>
        <FullAddress>בעלי המלאכה 2 נתיבות ת.ד 5015</FullAddress>
        <EmailAddress>gili.avni@gmail.com</EmailAddress>
        <MotionID>0</MotionID>
        <CasePleaID>0</CasePleaID>
        <FatherName xml:space="preserve">        </FatherName>
        <LinkedCaseID>0</LinkedCaseID>
        <PartyID>1</PartyID>
        <CasePartyCategoryID>2</CasePartyCategoryID>
        <LegalEntityAddressID>75748582</LegalEntityAddressID>
        <LegalEntityEmailAddressID>68136159</LegalEntityEmailAddressID>
        <PleaTypeID>4</PleaTypeID>
        <LawyerOfficeName>משרד עו"ד: גלעד אבני</LawyerOfficeName>
        <LawyerOfficeID>456613</LawyerOfficeID>
        <GroupPartyAlias/>
        <IsConverted>false</IsConverted>
        <LegalEntityNameID>36953</LegalEntityNameID>
        <RepresentatedNamesOfAssistant/>
        <LegalEntityTypeID>4</LegalEntityTypeID>
        <IsVerdictExists>false</IsVerdictExists>
        <IsAsirAzir>false</IsAsirAzir>
        <MainAndSecSpec/>
        <IsPublicationProhibited>false</IsPublicationProhibited>
        <PublicationProhibitedFullName>גלעד אבני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יהושע אטיה</FullName>
        <FirstName>יהושע</FirstName>
        <LastName>עטיה</LastName>
        <PartyPropertyName/>
        <AuthenticationTypeAndNumber>ת"ז 041336256</AuthenticationTypeAndNumber>
        <RepresentatedOrRepresentativesNames>ירון ממן</RepresentatedOrRepresentativesNames>
        <RepresentatedOrRepresentativesCount>1</RepresentatedOrRepresentativesCount>
        <InvitedBy/>
        <CaseID>80214678</CaseID>
        <CaseJudicialPersonPresentationDS>
          <CaseJudicalPersonActive>
            <CaseID>80214678</CaseID>
            <JudicialPersonID>033828203@GOV.IL</JudicialPersonID>
            <JudicialPersonTypeID>1</JudicialPersonTypeID>
            <JudicialTypeID>1</JudicialTypeID>
            <IsChairman>false</IsChairman>
            <TreatmentStartDate>2024-07-04T14:39:09.19+03:00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255107712</CasePartyID>
        <PartyTypeID>1</PartyTypeID>
        <ActivityStatusID>1</ActivityStatusID>
        <PartyAliasID>2</PartyAliasID>
        <PartyAliasName>נתבע</PartyAliasName>
        <OrdinalNumber>1</OrdinalNumber>
        <LegalEntityID>34416292</LegalEntityID>
        <CaseLegalEntityID>124171271</CaseLegalEntityID>
        <AuthenticationTypeID>1</AuthenticationTypeID>
        <AuthenticationTypeName>ת"ז</AuthenticationTypeName>
        <LegalEntityNumber>041336256</LegalEntityNumber>
        <IsMainPartyType>true</IsMainPartyType>
        <CaseDisplayIdentifier>6520-05-23</CaseDisplayIdentifier>
        <CaseTypeID>15</CaseTypeID>
        <CaseTypeName>תיק משפחה (תמ"ש)</CaseTypeName>
        <CaseName>בוכריס נ' אטיה ואח'</CaseName>
        <FullAddress>משק מספר 44 שרשרת דץנ נגב</FullAddress>
        <MotionID>0</MotionID>
        <CasePleaID>0</CasePleaID>
        <FatherName>ישמעאל</FatherName>
        <LinkedCaseID>0</LinkedCaseID>
        <PartyID>2</PartyID>
        <CasePartyCategoryID>2</CasePartyCategoryID>
        <LegalEntityAddressID>87858236</LegalEntityAddressID>
        <PleaTypeID>4</PleaTypeID>
        <GroupPartyAlias>נתבעים</GroupPartyAlias>
        <IsConverted>false</IsConverted>
        <LegalEntityRegisteredNameID>2880489</LegalEntityRegisteredNameID>
        <LegalEntityNameID>94794278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יהושע אטיה</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רשות מקרקעי ישראל - מחוז דרום</FullName>
        <LastName>רשות מקרקעי ישראל - מחוז דרום</LastName>
        <PartyPropertyName/>
        <AuthenticationTypeAndNumber>משרדי ממשלה 570000716</AuthenticationTypeAndNumber>
        <RepresentatedOrRepresentativesNames>ציון אילוז</RepresentatedOrRepresentativesNames>
        <RepresentatedOrRepresentativesCount>1</RepresentatedOrRepresentativesCount>
        <InvitedBy/>
        <CaseID>80214678</CaseID>
        <CaseJudicialPersonPresentationDS>
          <CaseJudicalPersonActive>
            <CaseID>80214678</CaseID>
            <JudicialPersonID>033828203@GOV.IL</JudicialPersonID>
            <JudicialPersonTypeID>1</JudicialPersonTypeID>
            <JudicialTypeID>1</JudicialTypeID>
            <IsChairman>false</IsChairman>
            <TreatmentStartDate>2024-07-04T14:39:09.19+03:00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255107707</CasePartyID>
        <PartyTypeID>1</PartyTypeID>
        <ActivityStatusID>1</ActivityStatusID>
        <PartyAliasID>2</PartyAliasID>
        <PartyAliasName>נתבע</PartyAliasName>
        <OrdinalNumber>2</OrdinalNumber>
        <LegalEntityID>15912675</LegalEntityID>
        <CaseLegalEntityID>124171266</CaseLegalEntityID>
        <AuthenticationTypeID>13</AuthenticationTypeID>
        <AuthenticationTypeName>משרדי ממשלה</AuthenticationTypeName>
        <LegalEntityNumber>570000716</LegalEntityNumber>
        <IsMainPartyType>true</IsMainPartyType>
        <CaseDisplayIdentifier>6520-05-23</CaseDisplayIdentifier>
        <CaseTypeID>15</CaseTypeID>
        <CaseTypeName>תיק משפחה (תמ"ש)</CaseTypeName>
        <CaseName>בוכריס נ' אטיה ואח'</CaseName>
        <FullAddress/>
        <MotionID>0</MotionID>
        <CasePleaID>0</CasePleaID>
        <LinkedCaseID>0</LinkedCaseID>
        <PartyID>2</PartyID>
        <CasePartyCategoryID>2</CasePartyCategoryID>
        <PleaTypeID>4</PleaTypeID>
        <GroupPartyAlias>נתבעים</GroupPartyAlias>
        <IsConverted>false</IsConverted>
        <LegalEntityRegisteredNameID>6124172</LegalEntityRegisteredNameID>
        <RepresentatedNamesOfAssistant/>
        <LegalEntityTypeID>3</LegalEntityTypeID>
        <IsVerdictExists>false</IsVerdictExists>
        <IsAsirAzir>false</IsAsirAzir>
        <MainAndSecSpec/>
        <IsPublicationProhibited>false</IsPublicationProhibited>
        <PublicationProhibitedFullName>רשות מקרקעי ישראל - מחוז דרום</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הסוכנות היהודית לא"י</FullName>
        <LastName>הסוכנות היהודית לא"י</LastName>
        <PartyPropertyName/>
        <AuthenticationTypeAndNumber>חברות חוץ 520039917</AuthenticationTypeAndNumber>
        <RepresentatedOrRepresentativesNames>יצחק אבידני</RepresentatedOrRepresentativesNames>
        <RepresentatedOrRepresentativesCount>1</RepresentatedOrRepresentativesCount>
        <InvitedBy/>
        <CaseID>80214678</CaseID>
        <CaseJudicialPersonPresentationDS>
          <CaseJudicalPersonActive>
            <CaseID>80214678</CaseID>
            <JudicialPersonID>033828203@GOV.IL</JudicialPersonID>
            <JudicialPersonTypeID>1</JudicialPersonTypeID>
            <JudicialTypeID>1</JudicialTypeID>
            <IsChairman>false</IsChairman>
            <TreatmentStartDate>2024-07-04T14:39:09.19+03:00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255107708</CasePartyID>
        <PartyTypeID>1</PartyTypeID>
        <ActivityStatusID>1</ActivityStatusID>
        <PartyAliasID>2</PartyAliasID>
        <PartyAliasName>נתבע</PartyAliasName>
        <OrdinalNumber>3</OrdinalNumber>
        <LegalEntityID>15813552</LegalEntityID>
        <CaseLegalEntityID>124171267</CaseLegalEntityID>
        <AuthenticationTypeID>16</AuthenticationTypeID>
        <AuthenticationTypeName>חברות חוץ</AuthenticationTypeName>
        <LegalEntityNumber>520039917</LegalEntityNumber>
        <IsMainPartyType>true</IsMainPartyType>
        <CaseDisplayIdentifier>6520-05-23</CaseDisplayIdentifier>
        <CaseTypeID>15</CaseTypeID>
        <CaseTypeName>תיק משפחה (תמ"ש)</CaseTypeName>
        <CaseName>בוכריס נ' אטיה ואח'</CaseName>
        <FullAddress/>
        <MotionID>0</MotionID>
        <CasePleaID>0</CasePleaID>
        <LinkedCaseID>0</LinkedCaseID>
        <PartyID>2</PartyID>
        <CasePartyCategoryID>2</CasePartyCategoryID>
        <PleaTypeID>4</PleaTypeID>
        <GroupPartyAlias>נתבעים</GroupPartyAlias>
        <IsConverted>false</IsConverted>
        <LegalEntityRegisteredNameID>516716</LegalEntityRegisteredNameID>
        <RepresentatedNamesOfAssistant/>
        <LegalEntityTypeID>3</LegalEntityTypeID>
        <IsVerdictExists>false</IsVerdictExists>
        <IsAsirAzir>false</IsAsirAzir>
        <MainAndSecSpec/>
        <IsPublicationProhibited>false</IsPublicationProhibited>
        <PublicationProhibitedFullName>הסוכנות היהודית לא"י</PublicationProhibitedFullName>
      </CaseParties>
    </CasePartiesSelectionDS>
    <CaseName>בוכריס נ' אטיה ואח'</CaseName>
    <CaseDisplayIdentifier>6520-05-23</CaseDisplayIdentifier>
    <CaseInterestID>158</CaseInterestID>
    <CaseTypeShortName>תמ"ש</CaseTypeShortName>
  </dt_DecisionCase>
  <dt_DecisionJudgePanel>
    <JudgeID>033828203@GOV.IL</JudgeID>
    <DisplayName>דיאנה פסו-ואגו</DisplayName>
    <RoleName>שופט</RoleName>
    <UserTitleName>שופטת</UserTitleName>
  </dt_DecisionJudgePanel>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Fax>02-6234684</Fax>
    <Phone>02-6231111</Phone>
    <PartyID>2</PartyID>
    <PartyTypeID>2</PartyTypeID>
    <DecisionID>0</DecisionID>
    <StreetName>מרדכי בן הלל 13</StreetName>
    <ZipCode>94231</ZipCode>
    <CityName>ירושלים</CityName>
    <FullName>יצחק אבידני</FullName>
    <Email>avidani@zahav.net.il</Email>
    <IsPublicationProhibited>false</IsPublicationProhibited>
  </dt_LegalEntityDetails>
  <dt_LegalEntityDetails>
    <Fax>08-9108887</Fax>
    <Phone>08-9108885</Phone>
    <PartyID>2</PartyID>
    <PartyTypeID>2</PartyTypeID>
    <DecisionID>0</DecisionID>
    <StreetName>דרך יבנה 34</StreetName>
    <ZipCode>72905</ZipCode>
    <CityName>רחובות</CityName>
    <FullName>ירון ממן</FullName>
    <Email>yaron@pm-law.co.il</Email>
    <IsPublicationProhibited>false</IsPublicationProhibited>
  </dt_LegalEntityDetails>
  <dt_LegalEntityDetails>
    <AddressDesc>ד.נ נגב</AddressDesc>
    <PartyID>1</PartyID>
    <PartyTypeID>1</PartyTypeID>
    <DecisionID>0</DecisionID>
    <StreetName>משק 32</StreetName>
    <CityName>שרשרת</CityName>
    <FullName>יוסף  בוכריס</FullName>
    <IsPublicationProhibited>false</IsPublicationProhibited>
  </dt_LegalEntityDetails>
  <dt_LegalEntityDetails>
    <Fax>08-6275561</Fax>
    <Phone>08-6275560</Phone>
    <AddressDesc>ת.ד 5015</AddressDesc>
    <PartyID>1</PartyID>
    <PartyTypeID>2</PartyTypeID>
    <DecisionID>0</DecisionID>
    <StreetName>בעלי המלאכה 2</StreetName>
    <CityName>נתיבות</CityName>
    <FullName>גלעד אבני</FullName>
    <Email>gili.avni@gmail.com</Email>
    <IsPublicationProhibited>false</IsPublicationProhibited>
  </dt_LegalEntityDetails>
  <dt_LegalEntityDetails>
    <AddressDesc>דץנ נגב</AddressDesc>
    <PartyID>2</PartyID>
    <PartyTypeID>1</PartyTypeID>
    <DecisionID>0</DecisionID>
    <StreetName>משק מספר 44</StreetName>
    <CityName>שרשרת</CityName>
    <FullName>יהושע אטיה</FullName>
    <IsPublicationProhibited>false</IsPublicationProhibited>
  </dt_LegalEntityDetails>
  <dt_LegalEntityDetails>
    <Phone>03-9533333</Phone>
    <PartyID>2</PartyID>
    <PartyTypeID>1</PartyTypeID>
    <DecisionID>0</DecisionID>
    <StreetName>התקווה 4</StreetName>
    <CityName>באר שבע</CityName>
    <FullName> רשות מקרקעי ישראל - מחוז דרום</FullName>
    <IsPublicationProhibited>false</IsPublicationProhibited>
  </dt_LegalEntityDetails>
  <dt_LegalEntityDetails>
    <PartyID>2</PartyID>
    <PartyTypeID>1</PartyTypeID>
    <DecisionID>0</DecisionID>
    <FullName> הסוכנות היהודית לא"י</FullName>
    <IsPublicationProhibited>false</IsPublicationProhibited>
  </dt_LegalEntityDetails>
  <dt_CaseJudicalPersonActive>
    <CaseJudicalPerson>שופטת דיאנה פסו-ואגו</CaseJudicalPerson>
  </dt_CaseJudicalPersonActive>
  <dt_Sitting>
    <PreviousMeetingDate>2024-11-06T10:00:00+02:00</PreviousMeetingDate>
    <PreviousSittingTypeID>1</PreviousSittingTypeID>
    <PreviousMeetingDisplayName>שופטת דיאנה פסו-ואגו</PreviousMeetingDisplayName>
    <PreviousMeetingRoleName>שופט</PreviousMeetingRoleName>
    <PreviousMeetingUserTitleName>שופטת</PreviousMeetingUserTitleName>
    <PreviousMeetingUserUPN>033828203@GOV.IL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A8B7A-C432-412C-A3CE-6FD44233305D}">
  <ds:schemaRefs/>
</ds:datastoreItem>
</file>

<file path=customXml/itemProps2.xml><?xml version="1.0" encoding="utf-8"?>
<ds:datastoreItem xmlns:ds="http://schemas.openxmlformats.org/officeDocument/2006/customXml" ds:itemID="{8F39E1E3-76D1-4E91-8208-43029827E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4551</Words>
  <Characters>22760</Characters>
  <Application>Microsoft Office Word</Application>
  <DocSecurity>0</DocSecurity>
  <Lines>189</Lines>
  <Paragraphs>54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2024-11-21T09:04:00Z</dcterms:created>
  <dcterms:modified xsi:type="dcterms:W3CDTF">2024-11-21T09:04:00Z</dcterms:modified>
</cp:coreProperties>
</file>